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关于贯彻落实《芜湖市居家养老服务条例》</w:t>
      </w:r>
    </w:p>
    <w:p>
      <w:pPr>
        <w:adjustRightInd w:val="0"/>
        <w:snapToGrid w:val="0"/>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的实施意见</w:t>
      </w:r>
    </w:p>
    <w:p>
      <w:pPr>
        <w:adjustRightInd w:val="0"/>
        <w:snapToGrid w:val="0"/>
        <w:spacing w:line="24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adjustRightInd w:val="0"/>
        <w:spacing w:line="312" w:lineRule="auto"/>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各县（市）、区人民政府，市直及部省属驻芜各</w:t>
      </w:r>
      <w:bookmarkStart w:id="0" w:name="_GoBack"/>
      <w:bookmarkEnd w:id="0"/>
      <w:r>
        <w:rPr>
          <w:rFonts w:hint="eastAsia" w:ascii="仿宋_GB2312" w:hAnsi="仿宋_GB2312" w:eastAsia="仿宋_GB2312" w:cs="仿宋_GB2312"/>
          <w:sz w:val="32"/>
          <w:szCs w:val="32"/>
        </w:rPr>
        <w:t>单位：</w:t>
      </w:r>
    </w:p>
    <w:p>
      <w:pPr>
        <w:adjustRightInd w:val="0"/>
        <w:spacing w:line="312"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为贯彻落实《芜湖市居家养老服务条例》（以下简称《条例》），进一步规范居家养老服务工作，</w:t>
      </w:r>
      <w:r>
        <w:rPr>
          <w:rFonts w:eastAsia="仿宋_GB2312"/>
          <w:snapToGrid w:val="0"/>
          <w:kern w:val="0"/>
          <w:sz w:val="32"/>
          <w:szCs w:val="32"/>
        </w:rPr>
        <w:t>满足老年人居家养老服务需求</w:t>
      </w:r>
      <w:r>
        <w:rPr>
          <w:rFonts w:hint="eastAsia" w:eastAsia="仿宋_GB2312"/>
          <w:snapToGrid w:val="0"/>
          <w:kern w:val="0"/>
          <w:sz w:val="32"/>
          <w:szCs w:val="32"/>
        </w:rPr>
        <w:t>，</w:t>
      </w:r>
      <w:r>
        <w:rPr>
          <w:rFonts w:hint="eastAsia" w:ascii="仿宋_GB2312" w:hAnsi="仿宋_GB2312" w:eastAsia="仿宋_GB2312" w:cs="仿宋_GB2312"/>
          <w:sz w:val="32"/>
          <w:szCs w:val="32"/>
        </w:rPr>
        <w:t>现提出如下实施意见。</w:t>
      </w:r>
    </w:p>
    <w:p>
      <w:pPr>
        <w:adjustRightInd w:val="0"/>
        <w:spacing w:line="312" w:lineRule="auto"/>
        <w:ind w:firstLine="640" w:firstLineChars="200"/>
        <w:contextualSpacing/>
        <w:outlineLvl w:val="0"/>
        <w:rPr>
          <w:rFonts w:ascii="黑体" w:hAnsi="黑体" w:eastAsia="黑体" w:cs="黑体"/>
          <w:sz w:val="32"/>
          <w:szCs w:val="32"/>
        </w:rPr>
      </w:pPr>
      <w:r>
        <w:rPr>
          <w:rFonts w:hint="eastAsia" w:ascii="黑体" w:hAnsi="黑体" w:eastAsia="黑体" w:cs="黑体"/>
          <w:sz w:val="32"/>
          <w:szCs w:val="32"/>
        </w:rPr>
        <w:t>一、指导思想</w:t>
      </w:r>
    </w:p>
    <w:p>
      <w:pPr>
        <w:adjustRightInd w:val="0"/>
        <w:spacing w:line="312"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以习近平新时代中国特色社会主义思想为指导，坚持</w:t>
      </w:r>
      <w:r>
        <w:rPr>
          <w:rFonts w:eastAsia="仿宋_GB2312"/>
          <w:snapToGrid w:val="0"/>
          <w:kern w:val="0"/>
          <w:sz w:val="32"/>
          <w:szCs w:val="32"/>
        </w:rPr>
        <w:t>政府主导、社会参与、适度普惠、循序渐进、统筹城乡、和谐共融</w:t>
      </w:r>
      <w:r>
        <w:rPr>
          <w:rFonts w:hint="eastAsia" w:ascii="仿宋_GB2312" w:hAnsi="仿宋_GB2312" w:eastAsia="仿宋_GB2312" w:cs="仿宋_GB2312"/>
          <w:sz w:val="32"/>
          <w:szCs w:val="32"/>
        </w:rPr>
        <w:t>的原则，全面贯彻落实《条例》规定。构建居家社区机构相协调、医养康养相结合的养老服务体系，满足居</w:t>
      </w:r>
      <w:r>
        <w:rPr>
          <w:rFonts w:eastAsia="仿宋_GB2312"/>
          <w:snapToGrid w:val="0"/>
          <w:kern w:val="0"/>
          <w:sz w:val="32"/>
          <w:szCs w:val="32"/>
        </w:rPr>
        <w:t>家老年人在生活照料、紧急救援、医疗护理、精神慰藉、心理咨询等方面服务需求。</w:t>
      </w:r>
    </w:p>
    <w:p>
      <w:pPr>
        <w:adjustRightInd w:val="0"/>
        <w:spacing w:line="312" w:lineRule="auto"/>
        <w:ind w:firstLine="640" w:firstLineChars="200"/>
        <w:contextualSpacing/>
        <w:outlineLvl w:val="0"/>
        <w:rPr>
          <w:rFonts w:ascii="黑体" w:hAnsi="黑体" w:eastAsia="黑体" w:cs="黑体"/>
          <w:sz w:val="32"/>
          <w:szCs w:val="32"/>
        </w:rPr>
      </w:pPr>
      <w:r>
        <w:rPr>
          <w:rFonts w:hint="eastAsia" w:ascii="黑体" w:hAnsi="黑体" w:eastAsia="黑体" w:cs="黑体"/>
          <w:sz w:val="32"/>
          <w:szCs w:val="32"/>
        </w:rPr>
        <w:t>二、工作目标</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sz w:val="32"/>
          <w:szCs w:val="32"/>
        </w:rPr>
        <w:t>——居家养老服务责任体系更加明确。</w:t>
      </w:r>
      <w:r>
        <w:rPr>
          <w:rFonts w:hint="eastAsia" w:ascii="仿宋_GB2312" w:hAnsi="仿宋_GB2312" w:eastAsia="仿宋_GB2312" w:cs="仿宋_GB2312"/>
          <w:sz w:val="32"/>
          <w:szCs w:val="32"/>
        </w:rPr>
        <w:t>政府及有关部门、村（居）民委员会和社会服务机构法定责任全面落实。</w:t>
      </w:r>
    </w:p>
    <w:p>
      <w:pPr>
        <w:adjustRightInd w:val="0"/>
        <w:spacing w:line="312"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居家养老服务基础设施更加完备。</w:t>
      </w:r>
      <w:r>
        <w:rPr>
          <w:rFonts w:hint="eastAsia" w:ascii="仿宋_GB2312" w:hAnsi="仿宋_GB2312" w:eastAsia="仿宋_GB2312" w:cs="仿宋_GB2312"/>
          <w:sz w:val="32"/>
          <w:szCs w:val="32"/>
        </w:rPr>
        <w:t>实现居家养老服务设施城乡全覆盖，每个乡镇（街道）均有1个居家养老服务中心，每个城市社区、农村行政村均有1个养老服务站或养老服务设施。</w:t>
      </w:r>
    </w:p>
    <w:p>
      <w:pPr>
        <w:adjustRightInd w:val="0"/>
        <w:spacing w:line="312"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居家养老服务供给内容更加健全。</w:t>
      </w:r>
      <w:r>
        <w:rPr>
          <w:rFonts w:hint="eastAsia" w:ascii="仿宋_GB2312" w:hAnsi="仿宋_GB2312" w:eastAsia="仿宋_GB2312" w:cs="仿宋_GB2312"/>
          <w:sz w:val="32"/>
          <w:szCs w:val="32"/>
        </w:rPr>
        <w:t>立足提供养老基本公共服务、医疗卫生服务，特殊和困难老年群体基本养老需求得到重点保障。</w:t>
      </w:r>
    </w:p>
    <w:p>
      <w:pPr>
        <w:adjustRightInd w:val="0"/>
        <w:spacing w:line="312"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居家养老服务保障更加完善。</w:t>
      </w:r>
      <w:r>
        <w:rPr>
          <w:rFonts w:hint="eastAsia" w:ascii="仿宋_GB2312" w:hAnsi="仿宋_GB2312" w:eastAsia="仿宋_GB2312" w:cs="仿宋_GB2312"/>
          <w:sz w:val="32"/>
          <w:szCs w:val="32"/>
        </w:rPr>
        <w:t>养老服务扶持政策更加惠民，专业服务机构、社会力量和志愿互助养老服务得到有力支持。</w:t>
      </w:r>
    </w:p>
    <w:p>
      <w:pPr>
        <w:adjustRightInd w:val="0"/>
        <w:spacing w:line="312"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居家养老服务监管体系更加完善。</w:t>
      </w:r>
      <w:r>
        <w:rPr>
          <w:rFonts w:hint="eastAsia" w:ascii="仿宋_GB2312" w:hAnsi="仿宋_GB2312" w:eastAsia="仿宋_GB2312" w:cs="仿宋_GB2312"/>
          <w:bCs/>
          <w:sz w:val="32"/>
          <w:szCs w:val="32"/>
        </w:rPr>
        <w:t>居家养老服务机构管理体制和监督机制逐步健全，老</w:t>
      </w:r>
      <w:r>
        <w:rPr>
          <w:rFonts w:hint="eastAsia" w:ascii="仿宋_GB2312" w:hAnsi="仿宋_GB2312" w:eastAsia="仿宋_GB2312" w:cs="仿宋_GB2312"/>
          <w:sz w:val="32"/>
          <w:szCs w:val="32"/>
        </w:rPr>
        <w:t>年人生活能力评估和养老服务质量评价标准进一步完善，全市养老信息化综合平台功能充分发挥。</w:t>
      </w:r>
    </w:p>
    <w:p>
      <w:pPr>
        <w:adjustRightInd w:val="0"/>
        <w:spacing w:line="312" w:lineRule="auto"/>
        <w:ind w:firstLine="640" w:firstLineChars="200"/>
        <w:contextualSpacing/>
        <w:outlineLvl w:val="0"/>
        <w:rPr>
          <w:rFonts w:ascii="黑体" w:hAnsi="黑体" w:eastAsia="黑体" w:cs="黑体"/>
          <w:sz w:val="32"/>
          <w:szCs w:val="32"/>
        </w:rPr>
      </w:pPr>
      <w:r>
        <w:rPr>
          <w:rFonts w:hint="eastAsia" w:ascii="黑体" w:hAnsi="黑体" w:eastAsia="黑体" w:cs="黑体"/>
          <w:sz w:val="32"/>
          <w:szCs w:val="32"/>
        </w:rPr>
        <w:t>三、重点任务</w:t>
      </w:r>
    </w:p>
    <w:p>
      <w:pPr>
        <w:adjustRightInd w:val="0"/>
        <w:spacing w:line="312" w:lineRule="auto"/>
        <w:ind w:firstLine="482" w:firstLineChars="150"/>
        <w:contextualSpacing/>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（一）明确居家养老服务责任体系</w:t>
      </w:r>
    </w:p>
    <w:p>
      <w:pPr>
        <w:pStyle w:val="4"/>
        <w:shd w:val="clear" w:color="auto" w:fill="FFFFFF"/>
        <w:adjustRightInd w:val="0"/>
        <w:spacing w:before="0" w:beforeAutospacing="0" w:after="0" w:afterAutospacing="0" w:line="312" w:lineRule="auto"/>
        <w:ind w:firstLine="641"/>
        <w:contextualSpacing/>
        <w:jc w:val="both"/>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全面履行政府主导责任。</w:t>
      </w:r>
      <w:r>
        <w:rPr>
          <w:rFonts w:hint="eastAsia" w:ascii="仿宋_GB2312" w:hAnsi="仿宋_GB2312" w:eastAsia="仿宋_GB2312" w:cs="仿宋_GB2312"/>
          <w:sz w:val="32"/>
          <w:szCs w:val="32"/>
        </w:rPr>
        <w:t>各级人民政府要将居家养老服务工作纳入国民经济和社会发展规划；建立居家养老服务财政保障机制；统筹规划和配置居家养老服务设施；引导各类团体、组织参与居家养老服务。民政部门应牵头建立居家养老服务联席会议制度，落实跨部门协同服务机制。</w:t>
      </w:r>
    </w:p>
    <w:p>
      <w:pPr>
        <w:adjustRightInd w:val="0"/>
        <w:spacing w:line="312" w:lineRule="auto"/>
        <w:ind w:firstLine="643" w:firstLineChars="200"/>
        <w:contextualSpacing/>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强化属地管理服务职能。</w:t>
      </w:r>
      <w:r>
        <w:rPr>
          <w:rFonts w:hint="eastAsia" w:ascii="仿宋_GB2312" w:hAnsi="仿宋_GB2312" w:eastAsia="仿宋_GB2312" w:cs="仿宋_GB2312"/>
          <w:bCs/>
          <w:sz w:val="32"/>
          <w:szCs w:val="32"/>
        </w:rPr>
        <w:t>乡镇人民政府、街道办事处要落实主体责任，统筹协调和管理居家养老服务工作，协助建立社区居家养老服务平台和网点。</w:t>
      </w:r>
      <w:r>
        <w:rPr>
          <w:rFonts w:hint="eastAsia" w:ascii="仿宋_GB2312" w:hAnsi="仿宋_GB2312" w:eastAsia="仿宋_GB2312" w:cs="仿宋_GB2312"/>
          <w:sz w:val="32"/>
          <w:szCs w:val="32"/>
        </w:rPr>
        <w:t>居民（村民）委员会应协助开展老年人服务需求调查，建立老年人登记、走访制度。</w:t>
      </w:r>
    </w:p>
    <w:p>
      <w:pPr>
        <w:adjustRightInd w:val="0"/>
        <w:spacing w:line="312" w:lineRule="auto"/>
        <w:ind w:firstLine="643" w:firstLineChars="200"/>
        <w:contextualSpacing/>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发挥社会参与服务主体作用。</w:t>
      </w:r>
      <w:r>
        <w:rPr>
          <w:rFonts w:hint="eastAsia" w:ascii="仿宋_GB2312" w:hAnsi="仿宋_GB2312" w:eastAsia="仿宋_GB2312" w:cs="仿宋_GB2312"/>
          <w:sz w:val="32"/>
          <w:szCs w:val="32"/>
        </w:rPr>
        <w:t>完善优惠扶持政策，吸引各类市场主体及社会组织参与居家养老服务，引导居家养老服务机构连锁化、品牌化发展；创新公建民营等机制，逐步使社会力量成为居家养老服务的主体；引导居家养老服务机构建立行业协会，加强行业自律。</w:t>
      </w:r>
    </w:p>
    <w:p>
      <w:pPr>
        <w:adjustRightInd w:val="0"/>
        <w:spacing w:line="312" w:lineRule="auto"/>
        <w:ind w:firstLine="482" w:firstLineChars="150"/>
        <w:contextualSpacing/>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（二）加快居家养老服务用房和设施建设</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严格落实配建标准。</w:t>
      </w:r>
      <w:r>
        <w:rPr>
          <w:rFonts w:hint="eastAsia" w:ascii="仿宋_GB2312" w:hAnsi="仿宋_GB2312" w:eastAsia="仿宋_GB2312" w:cs="仿宋_GB2312"/>
          <w:sz w:val="32"/>
          <w:szCs w:val="32"/>
        </w:rPr>
        <w:t>新建住宅区应按照每百户</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平方米，已建成住宅区按照每百户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平方米标准配置社区养老服务用房；新建住宅区建设、老旧小区改造与配套养老服务设施应当做到“四同步”，即同步规划、同步建设、同步验收、同步交付。居家养老服务用房应方便老年人出入和活动，满足通风、日照、消防安全和紧急救援等条件。编制乡、村庄规划时，应在人口聚集、中心村等地方设置养老服务设施。</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sz w:val="32"/>
          <w:szCs w:val="32"/>
        </w:rPr>
        <w:t>5</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多渠道增加居家养老服务用房。</w:t>
      </w:r>
      <w:r>
        <w:rPr>
          <w:rFonts w:hint="eastAsia" w:ascii="仿宋_GB2312" w:hAnsi="仿宋_GB2312" w:eastAsia="仿宋_GB2312" w:cs="仿宋_GB2312"/>
          <w:sz w:val="32"/>
          <w:szCs w:val="32"/>
        </w:rPr>
        <w:t>已建成住宅区养老服务设施不符合要求的，市、县（区）人民政府应当通过购置、置换、租赁、改造等方式完成配置。鼓励企业事业单位、社会组织和个人将闲置的场所、设施用于开展居家养老服务。</w:t>
      </w:r>
    </w:p>
    <w:p>
      <w:pPr>
        <w:adjustRightInd w:val="0"/>
        <w:spacing w:line="312" w:lineRule="auto"/>
        <w:ind w:firstLine="643" w:firstLineChars="200"/>
        <w:contextualSpacing/>
        <w:rPr>
          <w:rFonts w:ascii="仿宋_GB2312" w:hAnsi="仿宋_GB2312" w:eastAsia="仿宋_GB2312" w:cs="仿宋_GB2312"/>
          <w:bCs/>
          <w:sz w:val="32"/>
          <w:szCs w:val="32"/>
        </w:rPr>
      </w:pPr>
      <w:r>
        <w:rPr>
          <w:rFonts w:hint="eastAsia" w:ascii="仿宋_GB2312" w:hAnsi="仿宋_GB2312" w:eastAsia="仿宋_GB2312" w:cs="仿宋_GB2312"/>
          <w:b/>
          <w:sz w:val="32"/>
          <w:szCs w:val="32"/>
        </w:rPr>
        <w:t>6</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推进养老服务设施适老化改造。</w:t>
      </w:r>
      <w:r>
        <w:rPr>
          <w:rFonts w:hint="eastAsia" w:ascii="仿宋_GB2312" w:hAnsi="仿宋_GB2312" w:eastAsia="仿宋_GB2312" w:cs="仿宋_GB2312"/>
          <w:bCs/>
          <w:sz w:val="32"/>
          <w:szCs w:val="32"/>
        </w:rPr>
        <w:t>市、县（区）人民政府应推动老年宜居社区建设，推进老年人家庭生活设施无障碍改造。对经济困难的失能、残疾、高龄老年人家庭无障碍改造，市、县（区）人民政府应当按规定给予补贴。</w:t>
      </w:r>
    </w:p>
    <w:p>
      <w:pPr>
        <w:adjustRightInd w:val="0"/>
        <w:spacing w:line="312" w:lineRule="auto"/>
        <w:ind w:firstLine="643" w:firstLineChars="200"/>
        <w:contextualSpacing/>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（三）扩大居家养老服务供给</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完善保障性养老服务。</w:t>
      </w:r>
      <w:r>
        <w:rPr>
          <w:rFonts w:hint="eastAsia" w:ascii="仿宋_GB2312" w:hAnsi="仿宋_GB2312" w:eastAsia="仿宋_GB2312" w:cs="仿宋_GB2312"/>
          <w:sz w:val="32"/>
          <w:szCs w:val="32"/>
        </w:rPr>
        <w:t>为计划生育特殊家庭和最低生活保障家庭中的老年人提供适当的免费居家养老服务。向八十周岁以上老人发放高龄津贴，购买意外伤害保险，免费安装应急呼叫设施。根据失能程度，为经济困难且生活长期不能自理的老年人，提供护理补贴。对经济困难的老年人，逐步给予养老服务补贴。</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8.推进医养结合融合发展。</w:t>
      </w:r>
      <w:r>
        <w:rPr>
          <w:rFonts w:hint="eastAsia" w:ascii="仿宋_GB2312" w:hAnsi="仿宋_GB2312" w:eastAsia="仿宋_GB2312" w:cs="仿宋_GB2312"/>
          <w:sz w:val="32"/>
          <w:szCs w:val="32"/>
        </w:rPr>
        <w:t>鼓励各级医疗卫生机构与养老机构合作，开展养老服务。设立家庭病床，将符合规定的医疗、护理、康复费用纳入医保支付范围。建立家庭医生签约制度，为社区高龄、失能和部分失能的老年人提供上门服务。基层医疗卫生机构为老年人建立电子健康档案，为六十五周岁以上老年人免费提供健康管理服务。</w:t>
      </w:r>
    </w:p>
    <w:p>
      <w:pPr>
        <w:adjustRightInd w:val="0"/>
        <w:spacing w:line="312" w:lineRule="auto"/>
        <w:ind w:firstLine="630" w:firstLineChars="196"/>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9</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开展居家养老“六助”服务。</w:t>
      </w:r>
      <w:r>
        <w:rPr>
          <w:rFonts w:hint="eastAsia" w:ascii="仿宋_GB2312" w:hAnsi="仿宋_GB2312" w:eastAsia="仿宋_GB2312" w:cs="仿宋_GB2312"/>
          <w:sz w:val="32"/>
          <w:szCs w:val="32"/>
        </w:rPr>
        <w:t>以社区（村）养老服务站和日间照料中心为载体，为城乡老年人提供助急、助医（护理）、助餐、助洁、助浴、助行等“六助”服务。县、区人民政府建立农村老年人联系人登记、赡养协议签订、农特殊困难老年人探视走访三项制度，提升农村居家养老服务水平。</w:t>
      </w:r>
    </w:p>
    <w:p>
      <w:pPr>
        <w:adjustRightInd w:val="0"/>
        <w:spacing w:line="312" w:lineRule="auto"/>
        <w:ind w:firstLine="643" w:firstLineChars="200"/>
        <w:contextualSpacing/>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0</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实施“互联网</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居家养老”行动。</w:t>
      </w:r>
      <w:r>
        <w:rPr>
          <w:rFonts w:hint="eastAsia" w:ascii="仿宋_GB2312" w:hAnsi="仿宋_GB2312" w:eastAsia="仿宋_GB2312" w:cs="仿宋_GB2312"/>
          <w:sz w:val="32"/>
          <w:szCs w:val="32"/>
        </w:rPr>
        <w:t>加强居家养老服务信息管理系统和服务平台建设，鼓励支持居家养老服务机构运用互联网、物联网和云计算、大数据等信息技术推进智慧养老，提高居家养老服务水平。</w:t>
      </w:r>
    </w:p>
    <w:p>
      <w:pPr>
        <w:adjustRightInd w:val="0"/>
        <w:spacing w:line="312" w:lineRule="auto"/>
        <w:ind w:firstLine="643" w:firstLineChars="200"/>
        <w:contextualSpacing/>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丰富老年人精神文化生活。</w:t>
      </w:r>
      <w:r>
        <w:rPr>
          <w:rFonts w:hint="eastAsia" w:ascii="仿宋_GB2312" w:hAnsi="仿宋_GB2312" w:eastAsia="仿宋_GB2312" w:cs="仿宋_GB2312"/>
          <w:sz w:val="32"/>
          <w:szCs w:val="32"/>
        </w:rPr>
        <w:t>推动各级老年大学发展，培育老年文体教育社会组织和团队，开展各类老年人活动。</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12.引入社会力量参与养老服务。</w:t>
      </w:r>
      <w:r>
        <w:rPr>
          <w:rFonts w:hint="eastAsia" w:ascii="仿宋_GB2312" w:hAnsi="仿宋_GB2312" w:eastAsia="仿宋_GB2312" w:cs="仿宋_GB2312"/>
          <w:sz w:val="32"/>
          <w:szCs w:val="32"/>
        </w:rPr>
        <w:t>鼓励以县区为单位，将辖区内的社区养老服务站打包交由居家养老服务企业运营管理，打造专业化的品牌居家养老服务企业。</w:t>
      </w:r>
    </w:p>
    <w:p>
      <w:pPr>
        <w:adjustRightInd w:val="0"/>
        <w:spacing w:line="312" w:lineRule="auto"/>
        <w:ind w:firstLine="643" w:firstLineChars="200"/>
        <w:contextualSpacing/>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（四）强化居家养老服务保障</w:t>
      </w:r>
    </w:p>
    <w:p>
      <w:pPr>
        <w:adjustRightInd w:val="0"/>
        <w:spacing w:line="312" w:lineRule="auto"/>
        <w:ind w:firstLine="643" w:firstLineChars="200"/>
        <w:contextualSpacing/>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落实养老服务扶持政策。</w:t>
      </w:r>
      <w:r>
        <w:rPr>
          <w:rFonts w:hint="eastAsia" w:ascii="仿宋_GB2312" w:hAnsi="仿宋_GB2312" w:eastAsia="仿宋_GB2312" w:cs="仿宋_GB2312"/>
          <w:sz w:val="32"/>
          <w:szCs w:val="32"/>
        </w:rPr>
        <w:t>对符合条件的居家养老服务中心（站），按规定给予建设补助和运行补助。落实养老服务机构用电、水、气及有线（数字）电视基本维护费优惠政策。落实养老机构、社区养老服务机构税收优惠政策。</w:t>
      </w:r>
    </w:p>
    <w:p>
      <w:pPr>
        <w:adjustRightInd w:val="0"/>
        <w:snapToGrid w:val="0"/>
        <w:spacing w:line="580" w:lineRule="exact"/>
        <w:ind w:firstLine="643" w:firstLineChars="200"/>
        <w:rPr>
          <w:rFonts w:eastAsia="仿宋_GB2312"/>
          <w:snapToGrid w:val="0"/>
          <w:kern w:val="0"/>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加强养老服务教育技能培训。</w:t>
      </w:r>
      <w:r>
        <w:rPr>
          <w:rFonts w:hint="eastAsia" w:ascii="仿宋_GB2312" w:hAnsi="仿宋_GB2312" w:eastAsia="仿宋_GB2312" w:cs="仿宋_GB2312"/>
          <w:sz w:val="32"/>
          <w:szCs w:val="32"/>
        </w:rPr>
        <w:t>市和县（市）、区人民政府将养老服务人才培养纳入人才培养计划，推进养老服务人才队伍的职业教育。</w:t>
      </w:r>
      <w:r>
        <w:rPr>
          <w:rFonts w:eastAsia="仿宋_GB2312"/>
          <w:snapToGrid w:val="0"/>
          <w:kern w:val="0"/>
          <w:sz w:val="32"/>
          <w:szCs w:val="32"/>
        </w:rPr>
        <w:t>鼓励高等院校、中等职业学校和职业培训机构开设居家养老服务相关专业。</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 w:hAnsi="仿宋" w:eastAsia="仿宋" w:cs="仿宋"/>
          <w:b/>
          <w:bCs/>
          <w:snapToGrid w:val="0"/>
          <w:kern w:val="0"/>
          <w:sz w:val="32"/>
          <w:szCs w:val="32"/>
        </w:rPr>
        <w:t>15.</w:t>
      </w:r>
      <w:r>
        <w:rPr>
          <w:rFonts w:hint="eastAsia" w:ascii="仿宋_GB2312" w:hAnsi="仿宋_GB2312" w:eastAsia="仿宋_GB2312" w:cs="仿宋_GB2312"/>
          <w:b/>
          <w:bCs/>
          <w:sz w:val="32"/>
          <w:szCs w:val="32"/>
        </w:rPr>
        <w:t>推进养老护理人员职业化发展。</w:t>
      </w:r>
      <w:r>
        <w:rPr>
          <w:rFonts w:hint="eastAsia" w:ascii="仿宋_GB2312" w:hAnsi="仿宋_GB2312" w:eastAsia="仿宋_GB2312" w:cs="仿宋_GB2312"/>
          <w:sz w:val="32"/>
          <w:szCs w:val="32"/>
        </w:rPr>
        <w:t>完善居家养老服务人员的评估和激励机制，对符合条件的人员按照规定给予补贴。</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16.发展助老志愿服务组织。</w:t>
      </w:r>
      <w:r>
        <w:rPr>
          <w:rFonts w:hint="eastAsia" w:ascii="仿宋_GB2312" w:hAnsi="仿宋_GB2312" w:eastAsia="仿宋_GB2312" w:cs="仿宋_GB2312"/>
          <w:sz w:val="32"/>
          <w:szCs w:val="32"/>
        </w:rPr>
        <w:t>鼓励开展居家养老服务志愿活动，建立志愿服务记录、积分奖励等制度。</w:t>
      </w:r>
    </w:p>
    <w:p>
      <w:pPr>
        <w:adjustRightInd w:val="0"/>
        <w:spacing w:line="312" w:lineRule="auto"/>
        <w:ind w:firstLine="630" w:firstLineChars="196"/>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（五）加强居家养老服务监督管理</w:t>
      </w:r>
    </w:p>
    <w:p>
      <w:pPr>
        <w:adjustRightInd w:val="0"/>
        <w:spacing w:line="312" w:lineRule="auto"/>
        <w:ind w:firstLine="643" w:firstLineChars="200"/>
        <w:contextualSpacing/>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7</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完善居家养老保险制度。</w:t>
      </w:r>
      <w:r>
        <w:rPr>
          <w:rFonts w:hint="eastAsia" w:ascii="仿宋_GB2312" w:hAnsi="仿宋_GB2312" w:eastAsia="仿宋_GB2312" w:cs="仿宋_GB2312"/>
          <w:sz w:val="32"/>
          <w:szCs w:val="32"/>
        </w:rPr>
        <w:t>建立老年人意外伤害保险制度，实施养老机构综合责任保险制度，鼓励发展商业性长期护理保险产品。</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18</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开展居家养老服务评估。</w:t>
      </w:r>
      <w:r>
        <w:rPr>
          <w:rFonts w:hint="eastAsia" w:ascii="仿宋_GB2312" w:hAnsi="仿宋_GB2312" w:eastAsia="仿宋_GB2312" w:cs="仿宋_GB2312"/>
          <w:sz w:val="32"/>
          <w:szCs w:val="32"/>
        </w:rPr>
        <w:t>建立居家养老服务机构等级评定制度，并纳入社会诚信建设体系。建立居家养老服务评估制度，将评估结果作为确定老年人服务需求类型、照料护理等级、养老服务补贴标准、居家养老服务组织享受相关优惠待遇的依据。</w:t>
      </w:r>
    </w:p>
    <w:p>
      <w:pPr>
        <w:pStyle w:val="4"/>
        <w:shd w:val="clear" w:color="auto" w:fill="FFFFFF"/>
        <w:adjustRightInd w:val="0"/>
        <w:spacing w:before="0" w:beforeAutospacing="0" w:after="0" w:afterAutospacing="0" w:line="312" w:lineRule="auto"/>
        <w:ind w:firstLine="641"/>
        <w:contextualSpacing/>
        <w:jc w:val="both"/>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rPr>
        <w:t>19</w:t>
      </w:r>
      <w:r>
        <w:rPr>
          <w:rFonts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完善居家养老服务规范。</w:t>
      </w:r>
      <w:r>
        <w:rPr>
          <w:rFonts w:hint="eastAsia" w:ascii="仿宋_GB2312" w:hAnsi="仿宋_GB2312" w:eastAsia="仿宋_GB2312" w:cs="仿宋_GB2312"/>
          <w:kern w:val="2"/>
          <w:sz w:val="32"/>
          <w:szCs w:val="32"/>
        </w:rPr>
        <w:t>推动居家养老服务相关规范标准的编制实施，提高居家养老服务行业的标准化、规范化水平。</w:t>
      </w:r>
      <w:r>
        <w:rPr>
          <w:rFonts w:hint="eastAsia" w:ascii="仿宋_GB2312" w:hAnsi="仿宋_GB2312" w:eastAsia="仿宋_GB2312" w:cs="仿宋_GB2312"/>
          <w:sz w:val="32"/>
          <w:szCs w:val="32"/>
        </w:rPr>
        <w:t>围绕社区居家养老服务用房和设施，明确设施规模、功能、人员和监管等方面的基本要求。</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20.加强居家养老服务机构监管。</w:t>
      </w:r>
      <w:r>
        <w:rPr>
          <w:rFonts w:hint="eastAsia" w:ascii="仿宋_GB2312" w:hAnsi="仿宋_GB2312" w:eastAsia="仿宋_GB2312" w:cs="仿宋_GB2312"/>
          <w:sz w:val="32"/>
          <w:szCs w:val="32"/>
        </w:rPr>
        <w:t>市和县（市）、区民政部门应加强对居家养老服务机构的监督管理，建立居家养老服务机构信息档案，并向社会公开。居家养老服务机构应建立服务档案，公开服务项目、规范及收费标准等，接受社会公众的监督。</w:t>
      </w:r>
    </w:p>
    <w:p>
      <w:pPr>
        <w:adjustRightInd w:val="0"/>
        <w:spacing w:line="312" w:lineRule="auto"/>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bCs/>
          <w:sz w:val="32"/>
          <w:szCs w:val="32"/>
        </w:rPr>
        <w:t>21.加强居家养老服务信用体系建设。</w:t>
      </w:r>
      <w:r>
        <w:rPr>
          <w:rFonts w:hint="eastAsia" w:ascii="仿宋_GB2312" w:hAnsi="仿宋_GB2312" w:eastAsia="仿宋_GB2312" w:cs="仿宋_GB2312"/>
          <w:sz w:val="32"/>
          <w:szCs w:val="32"/>
        </w:rPr>
        <w:t>将居家养老服务机构及其从业人员信用信息纳入社会信用体系管理。加强对有不良信用记录的居家养老服务机构的监督检查和整改指导。</w:t>
      </w:r>
    </w:p>
    <w:p>
      <w:pPr>
        <w:adjustRightInd w:val="0"/>
        <w:spacing w:line="312" w:lineRule="auto"/>
        <w:ind w:firstLine="640" w:firstLineChars="200"/>
        <w:contextualSpacing/>
        <w:outlineLvl w:val="0"/>
        <w:rPr>
          <w:rFonts w:ascii="黑体" w:hAnsi="黑体" w:eastAsia="黑体" w:cs="黑体"/>
          <w:sz w:val="32"/>
          <w:szCs w:val="32"/>
        </w:rPr>
      </w:pPr>
      <w:r>
        <w:rPr>
          <w:rFonts w:hint="eastAsia" w:ascii="黑体" w:hAnsi="黑体" w:eastAsia="黑体" w:cs="黑体"/>
          <w:sz w:val="32"/>
          <w:szCs w:val="32"/>
        </w:rPr>
        <w:t>四、保障措施</w:t>
      </w:r>
    </w:p>
    <w:p>
      <w:pPr>
        <w:adjustRightIn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楷体_GB2312" w:eastAsia="楷体_GB2312" w:cs="楷体_GB2312"/>
          <w:sz w:val="32"/>
          <w:szCs w:val="32"/>
        </w:rPr>
        <w:t>（一）强化组织领导。</w:t>
      </w:r>
      <w:r>
        <w:rPr>
          <w:rFonts w:hint="eastAsia" w:ascii="仿宋_GB2312" w:hAnsi="仿宋_GB2312" w:eastAsia="仿宋_GB2312" w:cs="仿宋_GB2312"/>
          <w:sz w:val="32"/>
          <w:szCs w:val="32"/>
        </w:rPr>
        <w:t>各地要将贯彻落实《条例》作为当前重要任务来抓，强化政府主导作用。市民政局要牵头组织各有关部门，依托联席会议制度，及时研究解决居家养老服务工作中的新问题。</w:t>
      </w:r>
    </w:p>
    <w:p>
      <w:pPr>
        <w:adjustRightIn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楷体_GB2312" w:eastAsia="楷体_GB2312" w:cs="楷体_GB2312"/>
          <w:sz w:val="32"/>
          <w:szCs w:val="32"/>
        </w:rPr>
        <w:t>（二）强化资金保障</w:t>
      </w:r>
      <w:r>
        <w:rPr>
          <w:rFonts w:hint="eastAsia" w:ascii="仿宋_GB2312" w:hAnsi="仿宋_GB2312" w:eastAsia="仿宋_GB2312" w:cs="仿宋_GB2312"/>
          <w:sz w:val="32"/>
          <w:szCs w:val="32"/>
        </w:rPr>
        <w:t>。建立与老年人口规模和经济社会发展水平相适应的居家养老服务财政投入增长机制。自2020年起，市、县福利彩票公益金投入养老服务的比例不低于55%，其中用于居家养老服务的资金不低于45%。市、县（市）区两级经费按现行财政体制分担，确保居家养老经费投入与老年人需求相适应。</w:t>
      </w:r>
    </w:p>
    <w:p>
      <w:pPr>
        <w:adjustRightIn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楷体_GB2312" w:eastAsia="楷体_GB2312" w:cs="楷体_GB2312"/>
          <w:sz w:val="32"/>
          <w:szCs w:val="32"/>
        </w:rPr>
        <w:t>（三）强化宣传引导。</w:t>
      </w:r>
      <w:r>
        <w:rPr>
          <w:rFonts w:hint="eastAsia" w:ascii="仿宋_GB2312" w:hAnsi="仿宋_GB2312" w:eastAsia="仿宋_GB2312" w:cs="仿宋_GB2312"/>
          <w:sz w:val="32"/>
          <w:szCs w:val="32"/>
        </w:rPr>
        <w:t xml:space="preserve">将《条例》宣传纳入全市普法宣传内容，广泛开展人口老龄化国情、市情和居家养老相关法律法规政策宣传。倡导老年人自我照护，主动融入社会发展。 </w:t>
      </w:r>
    </w:p>
    <w:p>
      <w:pPr>
        <w:adjustRightInd w:val="0"/>
        <w:spacing w:line="560" w:lineRule="exact"/>
        <w:ind w:firstLine="640" w:firstLineChars="200"/>
        <w:contextualSpacing/>
        <w:rPr>
          <w:rFonts w:ascii="仿宋_GB2312" w:hAnsi="仿宋_GB2312" w:eastAsia="仿宋_GB2312" w:cs="仿宋_GB2312"/>
          <w:sz w:val="32"/>
          <w:szCs w:val="32"/>
        </w:rPr>
      </w:pPr>
      <w:r>
        <w:rPr>
          <w:rFonts w:hint="eastAsia" w:ascii="楷体_GB2312" w:hAnsi="楷体_GB2312" w:eastAsia="楷体_GB2312" w:cs="楷体_GB2312"/>
          <w:sz w:val="32"/>
          <w:szCs w:val="32"/>
        </w:rPr>
        <w:t>（四）强化督查问责。</w:t>
      </w:r>
      <w:r>
        <w:rPr>
          <w:rFonts w:hint="eastAsia" w:ascii="仿宋_GB2312" w:hAnsi="仿宋_GB2312" w:eastAsia="仿宋_GB2312" w:cs="仿宋_GB2312"/>
          <w:sz w:val="32"/>
          <w:szCs w:val="32"/>
        </w:rPr>
        <w:t>将《条例》贯彻落实工作纳入对县（市）、区政府和有关部门的目标管理考核，定期开展专项督查。对不履行、不当履行或违法履行职责的政府部门及其工作人员依法追究责任。</w:t>
      </w:r>
    </w:p>
    <w:p>
      <w:pPr>
        <w:widowControl/>
        <w:adjustRightInd w:val="0"/>
        <w:spacing w:before="100" w:beforeAutospacing="1" w:after="100" w:afterAutospacing="1" w:line="312" w:lineRule="auto"/>
        <w:ind w:firstLine="516"/>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本意见自</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20年月日起施行。此前有关文件中与本意见不一致的内容，法律、法规已有规定的，从其规定，法律、法规没有规定的，以本意见为准。</w:t>
      </w:r>
    </w:p>
    <w:p>
      <w:pPr>
        <w:widowControl/>
        <w:adjustRightInd w:val="0"/>
        <w:spacing w:before="100" w:beforeAutospacing="1" w:after="100" w:afterAutospacing="1" w:line="312" w:lineRule="auto"/>
        <w:ind w:firstLine="516"/>
        <w:contextualSpacing/>
        <w:rPr>
          <w:rFonts w:ascii="仿宋_GB2312" w:hAnsi="仿宋_GB2312" w:eastAsia="仿宋_GB2312" w:cs="仿宋_GB2312"/>
          <w:sz w:val="32"/>
          <w:szCs w:val="32"/>
        </w:rPr>
      </w:pPr>
    </w:p>
    <w:p>
      <w:pPr>
        <w:widowControl/>
        <w:adjustRightInd w:val="0"/>
        <w:spacing w:before="100" w:beforeAutospacing="1" w:after="100" w:afterAutospacing="1" w:line="312" w:lineRule="auto"/>
        <w:ind w:firstLine="516"/>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附件：贯彻落实《芜湖市居家养老服务条例》任务清单</w:t>
      </w:r>
    </w:p>
    <w:p>
      <w:pPr>
        <w:widowControl/>
        <w:adjustRightInd w:val="0"/>
        <w:spacing w:before="100" w:beforeAutospacing="1" w:after="100" w:afterAutospacing="1" w:line="312" w:lineRule="auto"/>
        <w:ind w:firstLine="516"/>
        <w:contextualSpacing/>
        <w:rPr>
          <w:rFonts w:ascii="仿宋_GB2312" w:hAnsi="仿宋_GB2312" w:eastAsia="仿宋_GB2312" w:cs="仿宋_GB2312"/>
          <w:sz w:val="32"/>
          <w:szCs w:val="32"/>
        </w:rPr>
      </w:pPr>
    </w:p>
    <w:p>
      <w:pPr>
        <w:widowControl/>
        <w:adjustRightInd w:val="0"/>
        <w:spacing w:before="100" w:beforeAutospacing="1" w:after="100" w:afterAutospacing="1" w:line="312" w:lineRule="auto"/>
        <w:ind w:firstLine="516"/>
        <w:contextualSpacing/>
        <w:rPr>
          <w:rFonts w:ascii="仿宋_GB2312" w:hAnsi="仿宋_GB2312" w:eastAsia="仿宋_GB2312" w:cs="仿宋_GB2312"/>
          <w:sz w:val="32"/>
          <w:szCs w:val="32"/>
        </w:rPr>
      </w:pPr>
    </w:p>
    <w:p>
      <w:pPr>
        <w:widowControl/>
        <w:adjustRightInd w:val="0"/>
        <w:spacing w:before="100" w:beforeAutospacing="1" w:after="100" w:afterAutospacing="1" w:line="312" w:lineRule="auto"/>
        <w:ind w:right="1359" w:rightChars="647" w:firstLine="516"/>
        <w:contextualSpacing/>
        <w:jc w:val="right"/>
        <w:rPr>
          <w:rFonts w:ascii="黑体" w:hAnsi="黑体" w:eastAsia="黑体" w:cs="宋体"/>
          <w:kern w:val="0"/>
          <w:sz w:val="25"/>
          <w:szCs w:val="25"/>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20年月</w:t>
      </w:r>
    </w:p>
    <w:p>
      <w:pPr>
        <w:widowControl/>
        <w:adjustRightInd w:val="0"/>
        <w:snapToGrid w:val="0"/>
        <w:spacing w:before="100" w:beforeAutospacing="1" w:after="100" w:afterAutospacing="1"/>
        <w:jc w:val="left"/>
        <w:outlineLvl w:val="0"/>
        <w:rPr>
          <w:rFonts w:ascii="宋体" w:cs="宋体"/>
          <w:kern w:val="0"/>
          <w:sz w:val="22"/>
        </w:rPr>
      </w:pPr>
      <w:r>
        <w:rPr>
          <w:rFonts w:hint="eastAsia" w:ascii="黑体" w:hAnsi="黑体" w:eastAsia="黑体" w:cs="宋体"/>
          <w:kern w:val="0"/>
          <w:sz w:val="25"/>
          <w:szCs w:val="25"/>
        </w:rPr>
        <w:t>附件</w:t>
      </w:r>
    </w:p>
    <w:p>
      <w:pPr>
        <w:widowControl/>
        <w:adjustRightInd w:val="0"/>
        <w:snapToGrid w:val="0"/>
        <w:spacing w:before="100" w:beforeAutospacing="1" w:after="100" w:afterAutospacing="1"/>
        <w:jc w:val="center"/>
        <w:rPr>
          <w:rFonts w:ascii="宋体" w:cs="宋体"/>
          <w:kern w:val="0"/>
          <w:sz w:val="22"/>
        </w:rPr>
      </w:pPr>
      <w:r>
        <w:rPr>
          <w:rFonts w:hint="eastAsia" w:ascii="方正小标宋简体" w:hAnsi="宋体" w:eastAsia="方正小标宋简体" w:cs="宋体"/>
          <w:kern w:val="0"/>
          <w:sz w:val="35"/>
          <w:szCs w:val="35"/>
        </w:rPr>
        <w:t>贯彻落实《芜湖市居家养老服务条例》任务清单</w:t>
      </w:r>
    </w:p>
    <w:tbl>
      <w:tblPr>
        <w:tblStyle w:val="6"/>
        <w:tblW w:w="1336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90"/>
        <w:gridCol w:w="8380"/>
        <w:gridCol w:w="964"/>
        <w:gridCol w:w="2100"/>
        <w:gridCol w:w="9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6" w:hRule="atLeast"/>
          <w:tblHeader/>
          <w:jc w:val="center"/>
        </w:trPr>
        <w:tc>
          <w:tcPr>
            <w:tcW w:w="99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黑体" w:hAnsi="黑体" w:eastAsia="黑体" w:cs="宋体"/>
                <w:kern w:val="0"/>
                <w:sz w:val="19"/>
                <w:szCs w:val="19"/>
              </w:rPr>
              <w:t>任务类别</w:t>
            </w:r>
          </w:p>
        </w:tc>
        <w:tc>
          <w:tcPr>
            <w:tcW w:w="83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黑体" w:hAnsi="黑体" w:eastAsia="黑体" w:cs="宋体"/>
                <w:kern w:val="0"/>
                <w:sz w:val="19"/>
                <w:szCs w:val="19"/>
              </w:rPr>
              <w:t>任务内容</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tcPr>
          <w:p>
            <w:pPr>
              <w:widowControl/>
              <w:adjustRightInd w:val="0"/>
              <w:snapToGrid w:val="0"/>
              <w:spacing w:before="100" w:beforeAutospacing="1" w:after="100" w:afterAutospacing="1"/>
              <w:jc w:val="center"/>
              <w:rPr>
                <w:rFonts w:ascii="黑体" w:hAnsi="黑体" w:eastAsia="黑体" w:cs="宋体"/>
                <w:kern w:val="0"/>
                <w:sz w:val="19"/>
                <w:szCs w:val="19"/>
              </w:rPr>
            </w:pPr>
            <w:r>
              <w:rPr>
                <w:rFonts w:hint="eastAsia" w:ascii="黑体" w:hAnsi="黑体" w:eastAsia="黑体" w:cs="宋体"/>
                <w:kern w:val="0"/>
                <w:sz w:val="19"/>
                <w:szCs w:val="19"/>
              </w:rPr>
              <w:t>牵头单位</w:t>
            </w:r>
          </w:p>
        </w:tc>
        <w:tc>
          <w:tcPr>
            <w:tcW w:w="210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黑体" w:hAnsi="黑体" w:eastAsia="黑体" w:cs="宋体"/>
                <w:kern w:val="0"/>
                <w:sz w:val="19"/>
                <w:szCs w:val="19"/>
              </w:rPr>
              <w:t>责任单位</w:t>
            </w:r>
          </w:p>
        </w:tc>
        <w:tc>
          <w:tcPr>
            <w:tcW w:w="92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黑体" w:hAnsi="黑体" w:eastAsia="黑体" w:cs="宋体"/>
                <w:kern w:val="0"/>
                <w:sz w:val="19"/>
                <w:szCs w:val="19"/>
              </w:rPr>
              <w:t>完成时限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4" w:hRule="atLeast"/>
          <w:jc w:val="center"/>
        </w:trPr>
        <w:tc>
          <w:tcPr>
            <w:tcW w:w="990" w:type="dxa"/>
            <w:vMerge w:val="restart"/>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一、明确居家养老服务责任体系</w:t>
            </w: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22"/>
              </w:rPr>
            </w:pPr>
            <w:r>
              <w:rPr>
                <w:rFonts w:ascii="宋体" w:hAnsi="宋体" w:cs="宋体"/>
                <w:kern w:val="0"/>
                <w:sz w:val="19"/>
                <w:szCs w:val="19"/>
              </w:rPr>
              <w:t>1</w:t>
            </w:r>
            <w:r>
              <w:rPr>
                <w:rFonts w:hint="eastAsia" w:ascii="宋体" w:hAnsi="宋体" w:cs="宋体"/>
                <w:kern w:val="0"/>
                <w:sz w:val="19"/>
                <w:szCs w:val="19"/>
              </w:rPr>
              <w:t>．将居家养老服务工作纳入国民经济和社会发展规划；建立居家养老服务财政保障机制；统筹规划和配置居家养老服务设施。</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县（市）、区政府、市发改委、市财政局、市自然资源和规划局、市直相关部门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4" w:hRule="atLeast"/>
          <w:jc w:val="center"/>
        </w:trPr>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22"/>
              </w:rPr>
            </w:pPr>
            <w:r>
              <w:rPr>
                <w:rFonts w:ascii="宋体" w:hAnsi="宋体" w:cs="宋体"/>
                <w:kern w:val="0"/>
                <w:sz w:val="19"/>
                <w:szCs w:val="19"/>
              </w:rPr>
              <w:t>2</w:t>
            </w:r>
            <w:r>
              <w:rPr>
                <w:rFonts w:hint="eastAsia" w:ascii="宋体" w:hAnsi="宋体" w:cs="宋体"/>
                <w:kern w:val="0"/>
                <w:sz w:val="19"/>
                <w:szCs w:val="19"/>
              </w:rPr>
              <w:t>．建立居家养老服务联席会议制度，落实跨部门协同服务机制。统筹协调和管理居家养老服务工作，协助建立社区居家养老服务平台和网点。</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34" w:hRule="atLeast"/>
          <w:jc w:val="center"/>
        </w:trPr>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22"/>
              </w:rPr>
            </w:pPr>
            <w:r>
              <w:rPr>
                <w:rFonts w:hint="eastAsia" w:ascii="宋体" w:hAnsi="宋体" w:cs="宋体"/>
                <w:kern w:val="0"/>
                <w:sz w:val="19"/>
                <w:szCs w:val="19"/>
              </w:rPr>
              <w:t>3</w:t>
            </w:r>
            <w:r>
              <w:rPr>
                <w:rFonts w:ascii="宋体" w:hAnsi="宋体" w:cs="宋体"/>
                <w:kern w:val="0"/>
                <w:sz w:val="19"/>
                <w:szCs w:val="19"/>
              </w:rPr>
              <w:t>.</w:t>
            </w:r>
            <w:r>
              <w:rPr>
                <w:rFonts w:hint="eastAsia" w:ascii="宋体" w:hAnsi="宋体" w:cs="宋体"/>
                <w:kern w:val="0"/>
                <w:sz w:val="19"/>
                <w:szCs w:val="19"/>
              </w:rPr>
              <w:t>建设居家养老服务设施，配备养老服务工作管理人员，支持、指导居民委员会、村民委员会、企业事业单位、社会组织和个人参与居家养老服务，做好监督管理工作；开展老年人服务需求调查，建立基本信息档案；做好政府购买居家养老服务项目相关工作；走访探视高龄、独居、空巢、残疾等老年人；指导基层老年组织开展各类活动；指导老年人家庭依法签订家庭赡养协议并督促协议履行。</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县（市）、区政府、市卫健委、市残联、市直相关部门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32" w:hRule="atLeast"/>
          <w:jc w:val="center"/>
        </w:trPr>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22"/>
              </w:rPr>
            </w:pPr>
            <w:r>
              <w:rPr>
                <w:rFonts w:hint="eastAsia" w:ascii="宋体" w:hAnsi="宋体" w:cs="宋体"/>
                <w:kern w:val="0"/>
                <w:sz w:val="19"/>
                <w:szCs w:val="19"/>
              </w:rPr>
              <w:t>4．制定和完善居家养老服务优惠扶持政策，引导和支持居家养老服务连锁化、品牌化、信息化和产业化发展；创新公建民营等机制，逐步使社会力量成为居家养老服务的主体；支持公办养老机构开展居家养老和社会化代养服务，比照民办养老服务机构享受运营补贴；建立居家养老志愿、互助服务奖励、回馈等激励机制；鼓励邻里互助养老和基层老年组织开展各种形式的互助服务；引导居家养老服务机构建立行业协会，加强居家养老服务行业自律和诚信建设。</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县（市）、区政府、市发改委、市财政局、市文明办、市直相关部门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990" w:type="dxa"/>
            <w:vMerge w:val="restart"/>
            <w:tcBorders>
              <w:top w:val="nil"/>
              <w:left w:val="single" w:color="auto" w:sz="4" w:space="0"/>
              <w:bottom w:val="nil"/>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二、完善城乡居家养老服务设施</w:t>
            </w: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hint="eastAsia" w:ascii="宋体" w:hAnsi="宋体" w:cs="宋体"/>
                <w:kern w:val="0"/>
                <w:sz w:val="19"/>
                <w:szCs w:val="19"/>
              </w:rPr>
              <w:t>5．新建住宅区应按照每百户不少于30平方米配建社区养老服务用房；老城区改造住宅区项目和已建成的住宅区按照每百户不少于20平方米配置社区养老服务用房；新建住宅区与配套社区养老服务设施应当做到“四同步”，即与住宅同步规划、同步建设、同步验收、同步交付。居家养老服务用房应方便老年人出入和活动，满足通风、日照、消防安全和紧急救援等条件。配建设施由县（市）区民政部门履行监管职责，确保养老服务用途。</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市住建局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r>
              <w:rPr>
                <w:rFonts w:hint="eastAsia" w:ascii="宋体" w:hAnsi="宋体" w:cs="宋体"/>
                <w:kern w:val="0"/>
                <w:sz w:val="19"/>
                <w:szCs w:val="19"/>
              </w:rPr>
              <w:t>县（市）、区政府、市自然资源和规划局、市民政局、市直相关部门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990" w:type="dxa"/>
            <w:vMerge w:val="continue"/>
            <w:tcBorders>
              <w:top w:val="nil"/>
              <w:left w:val="single" w:color="auto" w:sz="4" w:space="0"/>
              <w:bottom w:val="nil"/>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6．分区分级规划设置养老服务设施；编制乡、村庄规划时，在人口聚集地、中心村等地方设置养老服务设施。</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市自然资源和规划局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tcPr>
          <w:p>
            <w:pPr>
              <w:jc w:val="left"/>
            </w:pPr>
            <w:r>
              <w:rPr>
                <w:rFonts w:hint="eastAsia" w:ascii="宋体" w:hAnsi="宋体" w:cs="宋体"/>
                <w:kern w:val="0"/>
                <w:sz w:val="19"/>
                <w:szCs w:val="19"/>
              </w:rPr>
              <w:t>县（市）、区政府、市住建局、市民政局、市直相关部门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4" w:hRule="atLeast"/>
          <w:jc w:val="center"/>
        </w:trPr>
        <w:tc>
          <w:tcPr>
            <w:tcW w:w="990" w:type="dxa"/>
            <w:vMerge w:val="continue"/>
            <w:tcBorders>
              <w:top w:val="nil"/>
              <w:left w:val="single" w:color="auto" w:sz="4" w:space="0"/>
              <w:bottom w:val="nil"/>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tabs>
                <w:tab w:val="left" w:pos="312"/>
              </w:tabs>
              <w:adjustRightInd w:val="0"/>
              <w:snapToGrid w:val="0"/>
              <w:rPr>
                <w:rFonts w:ascii="仿宋_GB2312" w:hAnsi="仿宋_GB2312" w:eastAsia="仿宋_GB2312" w:cs="仿宋_GB2312"/>
                <w:sz w:val="32"/>
                <w:szCs w:val="32"/>
              </w:rPr>
            </w:pPr>
            <w:r>
              <w:rPr>
                <w:rFonts w:hint="eastAsia" w:ascii="宋体" w:hAnsi="宋体" w:cs="宋体"/>
                <w:kern w:val="0"/>
                <w:sz w:val="19"/>
                <w:szCs w:val="19"/>
              </w:rPr>
              <w:t>7</w:t>
            </w:r>
            <w:r>
              <w:rPr>
                <w:rFonts w:ascii="宋体" w:hAnsi="宋体" w:cs="宋体"/>
                <w:kern w:val="0"/>
                <w:sz w:val="19"/>
                <w:szCs w:val="19"/>
              </w:rPr>
              <w:t>.</w:t>
            </w:r>
            <w:r>
              <w:rPr>
                <w:rFonts w:hint="eastAsia" w:ascii="宋体" w:hAnsi="宋体" w:cs="宋体"/>
                <w:kern w:val="0"/>
                <w:sz w:val="19"/>
                <w:szCs w:val="19"/>
              </w:rPr>
              <w:t>多层无电梯养老服务用房应设置在一层，有电梯的设置在三层以下；支持符合条件的多层住宅加装电梯；</w:t>
            </w:r>
            <w:r>
              <w:rPr>
                <w:rFonts w:hint="eastAsia" w:ascii="宋体" w:hAnsi="宋体" w:cs="宋体"/>
                <w:b/>
                <w:bCs/>
                <w:kern w:val="0"/>
                <w:sz w:val="19"/>
                <w:szCs w:val="19"/>
              </w:rPr>
              <w:t>每年选择不少于</w:t>
            </w:r>
            <w:r>
              <w:rPr>
                <w:rFonts w:ascii="宋体" w:hAnsi="宋体" w:cs="宋体"/>
                <w:b/>
                <w:bCs/>
                <w:kern w:val="0"/>
                <w:sz w:val="19"/>
                <w:szCs w:val="19"/>
              </w:rPr>
              <w:t>100</w:t>
            </w:r>
            <w:r>
              <w:rPr>
                <w:rFonts w:hint="eastAsia" w:ascii="宋体" w:hAnsi="宋体" w:cs="宋体"/>
                <w:b/>
                <w:bCs/>
                <w:kern w:val="0"/>
                <w:sz w:val="19"/>
                <w:szCs w:val="19"/>
              </w:rPr>
              <w:t>户对特殊困难老年人家庭开展适老化改造</w:t>
            </w:r>
            <w:r>
              <w:rPr>
                <w:rFonts w:hint="eastAsia" w:ascii="宋体" w:hAnsi="宋体" w:cs="宋体"/>
                <w:kern w:val="0"/>
                <w:sz w:val="19"/>
                <w:szCs w:val="19"/>
              </w:rPr>
              <w:t>；已建成住宅区的坡道、楼梯扶手等与老年人日常生活密切相关的公共设施，不符合国家无障碍设施工程建设标准的，制定改造计划并组织实施；</w:t>
            </w:r>
            <w:r>
              <w:rPr>
                <w:rFonts w:hint="eastAsia" w:ascii="宋体" w:hAnsi="宋体" w:cs="宋体"/>
                <w:b/>
                <w:bCs/>
                <w:kern w:val="0"/>
                <w:sz w:val="19"/>
                <w:szCs w:val="19"/>
              </w:rPr>
              <w:t>完成县、乡镇养老服务指导中心、社区（村）养老服务站和老年食堂等场所适老化和无障碍设施建设和改造</w:t>
            </w:r>
            <w:r>
              <w:rPr>
                <w:rFonts w:hint="eastAsia" w:ascii="宋体" w:hAnsi="宋体" w:cs="宋体"/>
                <w:kern w:val="0"/>
                <w:sz w:val="19"/>
                <w:szCs w:val="19"/>
              </w:rPr>
              <w:t>。</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市住建局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tcPr>
          <w:p>
            <w:pPr>
              <w:jc w:val="left"/>
            </w:pPr>
            <w:r>
              <w:rPr>
                <w:rFonts w:hint="eastAsia" w:ascii="宋体" w:hAnsi="宋体" w:cs="宋体"/>
                <w:kern w:val="0"/>
                <w:sz w:val="19"/>
                <w:szCs w:val="19"/>
              </w:rPr>
              <w:t>县（市）、区政府、市自然资源和规划局、市民政局、市残联、市直相关部门</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20"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hd w:val="clear" w:color="auto" w:fill="FFFFFF"/>
              <w:tabs>
                <w:tab w:val="left" w:pos="312"/>
              </w:tabs>
              <w:adjustRightInd w:val="0"/>
              <w:snapToGrid w:val="0"/>
              <w:spacing w:before="0" w:beforeAutospacing="0" w:after="0" w:afterAutospacing="0" w:line="300" w:lineRule="auto"/>
              <w:jc w:val="both"/>
              <w:rPr>
                <w:sz w:val="19"/>
                <w:szCs w:val="19"/>
              </w:rPr>
            </w:pPr>
            <w:r>
              <w:rPr>
                <w:rFonts w:hint="eastAsia"/>
                <w:sz w:val="19"/>
                <w:szCs w:val="19"/>
              </w:rPr>
              <w:t>8</w:t>
            </w:r>
            <w:r>
              <w:rPr>
                <w:sz w:val="19"/>
                <w:szCs w:val="19"/>
              </w:rPr>
              <w:t>.</w:t>
            </w:r>
            <w:r>
              <w:rPr>
                <w:rFonts w:hint="eastAsia"/>
                <w:sz w:val="19"/>
                <w:szCs w:val="19"/>
              </w:rPr>
              <w:t>已建成住宅区养老服务设施不符合要求的，通过购置、置换、租赁、改造等方式两年内完成配置；支持社会闲置的场所、设施用于开展居家养老服务；开放机关、社会团体、企业事业单位所属场所，为老年人就近提供就餐、文化、健身、娱乐等服务；到</w:t>
            </w:r>
            <w:r>
              <w:rPr>
                <w:sz w:val="19"/>
                <w:szCs w:val="19"/>
              </w:rPr>
              <w:t>2020</w:t>
            </w:r>
            <w:r>
              <w:rPr>
                <w:rFonts w:hint="eastAsia"/>
                <w:sz w:val="19"/>
                <w:szCs w:val="19"/>
              </w:rPr>
              <w:t>年底，“三级中心”镇街、城市社区和农村行政村覆盖率达到</w:t>
            </w:r>
            <w:r>
              <w:rPr>
                <w:sz w:val="19"/>
                <w:szCs w:val="19"/>
              </w:rPr>
              <w:t>100%</w:t>
            </w:r>
            <w:r>
              <w:rPr>
                <w:rFonts w:hint="eastAsia"/>
                <w:sz w:val="19"/>
                <w:szCs w:val="19"/>
              </w:rPr>
              <w:t>；居家养老服务设施不得擅自拆除或者改变用途，因建设需要拆除或者改变用途的，按照不少于同等面积原地建设或者就近配置。</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县（市）、区政府</w:t>
            </w:r>
          </w:p>
        </w:tc>
        <w:tc>
          <w:tcPr>
            <w:tcW w:w="210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市住建局、市自然资源和规划局、市民政局、市直相关部门</w:t>
            </w:r>
          </w:p>
        </w:tc>
        <w:tc>
          <w:tcPr>
            <w:tcW w:w="92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45" w:hRule="atLeast"/>
          <w:jc w:val="center"/>
        </w:trPr>
        <w:tc>
          <w:tcPr>
            <w:tcW w:w="9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hAnsi="宋体" w:cs="宋体"/>
                <w:kern w:val="0"/>
                <w:sz w:val="19"/>
                <w:szCs w:val="19"/>
              </w:rPr>
            </w:pPr>
            <w:r>
              <w:rPr>
                <w:rFonts w:hint="eastAsia" w:ascii="宋体" w:hAnsi="宋体" w:cs="宋体"/>
                <w:kern w:val="0"/>
                <w:sz w:val="19"/>
                <w:szCs w:val="19"/>
              </w:rPr>
              <w:t>三、全面保障居家养老服务供给</w:t>
            </w:r>
          </w:p>
          <w:p>
            <w:pPr>
              <w:adjustRightInd w:val="0"/>
              <w:snapToGrid w:val="0"/>
              <w:spacing w:before="100" w:beforeAutospacing="1" w:after="100" w:afterAutospacing="1"/>
              <w:jc w:val="center"/>
              <w:rPr>
                <w:rFonts w:ascii="宋体" w:cs="宋体"/>
                <w:kern w:val="0"/>
                <w:sz w:val="19"/>
                <w:szCs w:val="19"/>
              </w:rPr>
            </w:pPr>
          </w:p>
          <w:p>
            <w:pPr>
              <w:adjustRightInd w:val="0"/>
              <w:snapToGrid w:val="0"/>
              <w:spacing w:before="100" w:beforeAutospacing="1" w:after="100" w:afterAutospacing="1"/>
              <w:jc w:val="center"/>
              <w:rPr>
                <w:rFonts w:ascii="宋体" w:cs="宋体"/>
                <w:kern w:val="0"/>
                <w:sz w:val="19"/>
                <w:szCs w:val="19"/>
              </w:rPr>
            </w:pPr>
          </w:p>
          <w:p>
            <w:pPr>
              <w:adjustRightInd w:val="0"/>
              <w:snapToGrid w:val="0"/>
              <w:spacing w:before="100" w:beforeAutospacing="1" w:after="100" w:afterAutospacing="1"/>
              <w:jc w:val="center"/>
              <w:rPr>
                <w:rFonts w:ascii="宋体" w:cs="宋体"/>
                <w:kern w:val="0"/>
                <w:sz w:val="19"/>
                <w:szCs w:val="19"/>
              </w:rPr>
            </w:pPr>
          </w:p>
        </w:tc>
        <w:tc>
          <w:tcPr>
            <w:tcW w:w="83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hint="eastAsia" w:ascii="宋体" w:hAnsi="宋体" w:cs="宋体"/>
                <w:kern w:val="0"/>
                <w:sz w:val="19"/>
                <w:szCs w:val="19"/>
              </w:rPr>
              <w:t>9．为计划生育特殊家庭和最低生活保障家庭中老年人，提供10</w:t>
            </w:r>
            <w:r>
              <w:rPr>
                <w:rFonts w:ascii="宋体" w:hAnsi="宋体" w:cs="宋体"/>
                <w:kern w:val="0"/>
                <w:sz w:val="19"/>
                <w:szCs w:val="19"/>
              </w:rPr>
              <w:t>0</w:t>
            </w:r>
            <w:r>
              <w:rPr>
                <w:rFonts w:hint="eastAsia" w:ascii="宋体" w:hAnsi="宋体" w:cs="宋体"/>
                <w:kern w:val="0"/>
                <w:sz w:val="19"/>
                <w:szCs w:val="19"/>
              </w:rPr>
              <w:t>元</w:t>
            </w:r>
            <w:r>
              <w:rPr>
                <w:rFonts w:ascii="宋体" w:hAnsi="宋体" w:cs="宋体"/>
                <w:kern w:val="0"/>
                <w:sz w:val="19"/>
                <w:szCs w:val="19"/>
              </w:rPr>
              <w:t>/</w:t>
            </w:r>
            <w:r>
              <w:rPr>
                <w:rFonts w:hint="eastAsia" w:ascii="宋体" w:hAnsi="宋体" w:cs="宋体"/>
                <w:kern w:val="0"/>
                <w:sz w:val="19"/>
                <w:szCs w:val="19"/>
              </w:rPr>
              <w:t>月的居家养老服务；为具有本市户籍的分散供养的城镇“三无”老人、70岁以上城镇低保且空巢老人每月发放200元居家养老服务补贴，其中80岁以上每月发放400元居家养老服务补贴；居家养老服务覆盖不到的70周岁以上低保老人、分散供养的特困供养对象，鼓励各县区通过政府购买服务方式提供居家养老服务，补贴标准不低于50元/月，有条件的县区可适当提标补贴标准。为</w:t>
            </w:r>
            <w:r>
              <w:rPr>
                <w:rFonts w:ascii="宋体" w:hAnsi="宋体" w:cs="宋体"/>
                <w:kern w:val="0"/>
                <w:sz w:val="19"/>
                <w:szCs w:val="19"/>
              </w:rPr>
              <w:t>80</w:t>
            </w:r>
            <w:r>
              <w:rPr>
                <w:rFonts w:hint="eastAsia" w:ascii="宋体" w:hAnsi="宋体" w:cs="宋体"/>
                <w:kern w:val="0"/>
                <w:sz w:val="19"/>
                <w:szCs w:val="19"/>
              </w:rPr>
              <w:t>周岁以上老年人提供50元</w:t>
            </w:r>
            <w:r>
              <w:rPr>
                <w:rFonts w:ascii="宋体" w:hAnsi="宋体" w:cs="宋体"/>
                <w:kern w:val="0"/>
                <w:sz w:val="19"/>
                <w:szCs w:val="19"/>
              </w:rPr>
              <w:t>—300</w:t>
            </w:r>
            <w:r>
              <w:rPr>
                <w:rFonts w:hint="eastAsia" w:ascii="宋体" w:hAnsi="宋体" w:cs="宋体"/>
                <w:kern w:val="0"/>
                <w:sz w:val="19"/>
                <w:szCs w:val="19"/>
              </w:rPr>
              <w:t>元</w:t>
            </w:r>
            <w:r>
              <w:rPr>
                <w:rFonts w:ascii="宋体" w:hAnsi="宋体" w:cs="宋体"/>
                <w:kern w:val="0"/>
                <w:sz w:val="19"/>
                <w:szCs w:val="19"/>
              </w:rPr>
              <w:t>/</w:t>
            </w:r>
            <w:r>
              <w:rPr>
                <w:rFonts w:hint="eastAsia" w:ascii="宋体" w:hAnsi="宋体" w:cs="宋体"/>
                <w:kern w:val="0"/>
                <w:sz w:val="19"/>
                <w:szCs w:val="19"/>
              </w:rPr>
              <w:t>月·人标准的高龄津贴，购买意外伤害保险，免费安装应急呼叫设施。</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县（市）、区政府、市财政局、市直相关部门</w:t>
            </w:r>
          </w:p>
        </w:tc>
        <w:tc>
          <w:tcPr>
            <w:tcW w:w="92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26"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left"/>
              <w:rPr>
                <w:rFonts w:ascii="宋体" w:cs="宋体"/>
                <w:kern w:val="0"/>
                <w:sz w:val="19"/>
                <w:szCs w:val="19"/>
              </w:rPr>
            </w:pPr>
          </w:p>
        </w:tc>
        <w:tc>
          <w:tcPr>
            <w:tcW w:w="838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0</w:t>
            </w:r>
            <w:r>
              <w:rPr>
                <w:rFonts w:ascii="宋体" w:hAnsi="宋体" w:cs="宋体"/>
                <w:kern w:val="0"/>
                <w:sz w:val="19"/>
                <w:szCs w:val="19"/>
              </w:rPr>
              <w:t>.</w:t>
            </w:r>
            <w:r>
              <w:rPr>
                <w:rFonts w:hint="eastAsia" w:ascii="宋体" w:hAnsi="宋体" w:cs="宋体"/>
                <w:kern w:val="0"/>
                <w:sz w:val="19"/>
                <w:szCs w:val="19"/>
              </w:rPr>
              <w:t>鼓励各级医疗卫生机构与养老机构合作，开展养老服务；设立家庭病床，将符合规定的医疗、护理、康复费用纳入医保支付范围；建立家庭医生签约制度，为社区高龄、失能和部分失能的老年人提供上门服务；基层医疗卫生机构为老年人建立电子健康档案，为六十五周岁以上老年人免费提供健康管理服务。</w:t>
            </w:r>
          </w:p>
        </w:tc>
        <w:tc>
          <w:tcPr>
            <w:tcW w:w="964"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市卫健委</w:t>
            </w:r>
          </w:p>
        </w:tc>
        <w:tc>
          <w:tcPr>
            <w:tcW w:w="210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县（市）、区政府、市民政局、市医保局</w:t>
            </w:r>
          </w:p>
        </w:tc>
        <w:tc>
          <w:tcPr>
            <w:tcW w:w="928"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ascii="宋体" w:hAnsi="宋体" w:cs="宋体"/>
                <w:kern w:val="0"/>
                <w:sz w:val="19"/>
                <w:szCs w:val="19"/>
              </w:rPr>
              <w:t>20</w:t>
            </w:r>
            <w:r>
              <w:rPr>
                <w:rFonts w:hint="eastAsia" w:ascii="宋体" w:hAnsi="宋体" w:cs="宋体"/>
                <w:kern w:val="0"/>
                <w:sz w:val="19"/>
                <w:szCs w:val="19"/>
              </w:rPr>
              <w:t>20年制定方案，持续实施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22"/>
              </w:rPr>
            </w:pPr>
          </w:p>
        </w:tc>
        <w:tc>
          <w:tcPr>
            <w:tcW w:w="838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1．以社区（村）养老服务站和日间照料中心为载体，为城乡老年人提供助急、助医（护理）、助餐、助洁、助浴、助行等“六助”服务；县、区人民政府建立农村老年人联系人登记、赡养协议签订、农特殊困难老年人探视走访三项制度，提升农村居家养老服务水平，构建农村老年人关爱服务体系。</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县（市）、区政府、市市场监管局</w:t>
            </w:r>
          </w:p>
        </w:tc>
        <w:tc>
          <w:tcPr>
            <w:tcW w:w="92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 w:hRule="atLeast"/>
          <w:jc w:val="center"/>
        </w:trPr>
        <w:tc>
          <w:tcPr>
            <w:tcW w:w="990" w:type="dxa"/>
            <w:vMerge w:val="continue"/>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jc w:val="left"/>
              <w:rPr>
                <w:rFonts w:ascii="宋体" w:cs="宋体"/>
                <w:kern w:val="0"/>
                <w:sz w:val="8"/>
                <w:szCs w:val="24"/>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2．制定养老服务三级中心运营办法，符合标准的居家养老服务中心（站），市级根据规模给予每个15-30万元的一次性建设补助；市、县（市）区政府根据社区日间照料中心的规模、服务人次，给予年度运营补助；支持物业服务企业开展居家养老服务；对在社区提供日间照料、康复护理、助餐助行等服务的养老服务机构给予税费减免扶持政策；</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县（市）、区政府、市发改委、市住建局、市财政局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0"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8"/>
                <w:szCs w:val="24"/>
              </w:rPr>
            </w:pPr>
          </w:p>
        </w:tc>
        <w:tc>
          <w:tcPr>
            <w:tcW w:w="838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3．持续推动智慧健康养老产业发展，制定健康养老产品及服务推广目录，开展智慧健康养老应用试点示范；鼓励支持居家养老服务机构运用互联网、物联网和云计算、大数据等信息技术推进智能养老，提高居家养老服务水平；建立覆盖城乡、互联共享的养老服务信息化平台，为低收入老年人及80周岁以上高龄空巢老人免费安装居家养老服务呼叫终端；定期公布和更新政府提供居家养老服务目录、居家养老服务机构名录等信息，为社会公众免费提供政策和相关法律咨询以及信息查询等服务，并依托信息平台做好养老服务机构的监督管理工作。</w:t>
            </w:r>
          </w:p>
        </w:tc>
        <w:tc>
          <w:tcPr>
            <w:tcW w:w="964"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县（市）、区政府、市经信局、市数据资源局、市市场监管局、市发改委</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8"/>
                <w:szCs w:val="24"/>
              </w:rPr>
            </w:pPr>
          </w:p>
        </w:tc>
        <w:tc>
          <w:tcPr>
            <w:tcW w:w="83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adjustRightInd w:val="0"/>
              <w:spacing w:line="240" w:lineRule="auto"/>
              <w:contextualSpacing/>
              <w:rPr>
                <w:rFonts w:ascii="宋体" w:cs="宋体"/>
                <w:kern w:val="0"/>
                <w:sz w:val="19"/>
                <w:szCs w:val="19"/>
              </w:rPr>
            </w:pPr>
            <w:r>
              <w:rPr>
                <w:rFonts w:hint="eastAsia" w:ascii="宋体" w:hAnsi="宋体" w:cs="宋体"/>
                <w:kern w:val="0"/>
                <w:sz w:val="19"/>
                <w:szCs w:val="19"/>
              </w:rPr>
              <w:t>14．发展社区老年教育，建立基层社区老年教学点；在社区为老年人提供心理咨询、情绪干预等精神关怀服务；依托社区综合性文化活动中心、社区广场，支持社区老年社会组织开展老年人文体、娱乐活动，培育特色文艺团队和兴趣小组，支持适合老年人开展的特色文化活动。</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市文旅局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r>
              <w:rPr>
                <w:rFonts w:hint="eastAsia" w:ascii="宋体" w:hAnsi="宋体" w:cs="宋体"/>
                <w:kern w:val="0"/>
                <w:sz w:val="19"/>
                <w:szCs w:val="19"/>
              </w:rPr>
              <w:t>县（市）、区政府、市教育局、市体育局、市民政局、市卫健委</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8"/>
                <w:szCs w:val="24"/>
              </w:rPr>
            </w:pPr>
          </w:p>
        </w:tc>
        <w:tc>
          <w:tcPr>
            <w:tcW w:w="83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adjustRightInd w:val="0"/>
              <w:spacing w:line="240" w:lineRule="auto"/>
              <w:contextualSpacing/>
              <w:rPr>
                <w:rFonts w:ascii="宋体" w:hAnsi="宋体" w:cs="宋体"/>
                <w:kern w:val="0"/>
                <w:sz w:val="19"/>
                <w:szCs w:val="19"/>
              </w:rPr>
            </w:pPr>
            <w:r>
              <w:rPr>
                <w:rFonts w:hint="eastAsia" w:ascii="宋体" w:hAnsi="宋体" w:cs="宋体"/>
                <w:kern w:val="0"/>
                <w:sz w:val="19"/>
                <w:szCs w:val="19"/>
              </w:rPr>
              <w:t>15.引入社会力量参与养老服务。鼓励以县区为单位，将辖区内的社区养老服务站打包交由居家养老服务企业运营管理，打造专业化的品牌居家养老服务企业。</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hAns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hAnsi="宋体" w:cs="宋体"/>
                <w:kern w:val="0"/>
                <w:sz w:val="19"/>
                <w:szCs w:val="19"/>
              </w:rPr>
            </w:pPr>
            <w:r>
              <w:rPr>
                <w:rFonts w:hint="eastAsia" w:ascii="宋体" w:hAnsi="宋体" w:cs="宋体"/>
                <w:kern w:val="0"/>
                <w:sz w:val="19"/>
                <w:szCs w:val="19"/>
              </w:rPr>
              <w:t>县（市）、区政府、市发改委、市财政局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hAnsi="宋体" w:cs="宋体"/>
                <w:kern w:val="0"/>
                <w:sz w:val="19"/>
                <w:szCs w:val="19"/>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 w:hRule="atLeast"/>
          <w:jc w:val="center"/>
        </w:trPr>
        <w:tc>
          <w:tcPr>
            <w:tcW w:w="990" w:type="dxa"/>
            <w:vMerge w:val="restart"/>
            <w:tcBorders>
              <w:top w:val="single" w:color="auto" w:sz="4" w:space="0"/>
              <w:left w:val="single" w:color="auto" w:sz="4" w:space="0"/>
              <w:right w:val="single" w:color="auto" w:sz="4" w:space="0"/>
            </w:tcBorders>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四、强化居家养老服务保障</w:t>
            </w:r>
          </w:p>
        </w:tc>
        <w:tc>
          <w:tcPr>
            <w:tcW w:w="83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adjustRightInd w:val="0"/>
              <w:spacing w:line="240" w:lineRule="auto"/>
              <w:contextualSpacing/>
              <w:rPr>
                <w:rFonts w:ascii="宋体" w:hAnsi="宋体" w:cs="宋体"/>
                <w:kern w:val="0"/>
                <w:sz w:val="19"/>
                <w:szCs w:val="19"/>
              </w:rPr>
            </w:pPr>
            <w:r>
              <w:rPr>
                <w:rFonts w:hint="eastAsia" w:ascii="宋体" w:hAnsi="宋体" w:cs="宋体"/>
                <w:kern w:val="0"/>
                <w:sz w:val="19"/>
                <w:szCs w:val="19"/>
              </w:rPr>
              <w:t>16.落实养老服务机构用电、用水、用气享受居民价格政策；养老服务机构有线（数字）电视基本维护标准按不高于当地居民用户主终端基本维护费标准的</w:t>
            </w:r>
            <w:r>
              <w:rPr>
                <w:rFonts w:ascii="宋体" w:hAnsi="宋体" w:cs="宋体"/>
                <w:kern w:val="0"/>
                <w:sz w:val="19"/>
                <w:szCs w:val="19"/>
              </w:rPr>
              <w:t>50%</w:t>
            </w:r>
            <w:r>
              <w:rPr>
                <w:rFonts w:hint="eastAsia" w:ascii="宋体" w:hAnsi="宋体" w:cs="宋体"/>
                <w:kern w:val="0"/>
                <w:sz w:val="19"/>
                <w:szCs w:val="19"/>
              </w:rPr>
              <w:t>收取。</w:t>
            </w:r>
          </w:p>
        </w:tc>
        <w:tc>
          <w:tcPr>
            <w:tcW w:w="96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hAns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hAnsi="宋体" w:cs="宋体"/>
                <w:kern w:val="0"/>
                <w:sz w:val="19"/>
                <w:szCs w:val="19"/>
              </w:rPr>
            </w:pPr>
            <w:r>
              <w:rPr>
                <w:rFonts w:hint="eastAsia" w:ascii="宋体" w:hAnsi="宋体" w:cs="宋体"/>
                <w:kern w:val="0"/>
                <w:sz w:val="19"/>
                <w:szCs w:val="19"/>
              </w:rPr>
              <w:t>县（市）、区政府、市财政局、市供电公司</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hAnsi="宋体" w:cs="宋体"/>
                <w:kern w:val="0"/>
                <w:sz w:val="19"/>
                <w:szCs w:val="19"/>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990" w:type="dxa"/>
            <w:vMerge w:val="continue"/>
            <w:tcBorders>
              <w:left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p>
        </w:tc>
        <w:tc>
          <w:tcPr>
            <w:tcW w:w="838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7．将养老服务人才队伍建设纳入人才教育培训规划，推进养老服务人才队伍的职业教育，完善养老服务专业人才的评价和激励机制；支持中医药高专等院校开设老年服务与管理、老年护理等专业；组织开展养老职业技能培训；赡养人、扶养人或者其雇用人员长期在家照顾失能老年人的，可申请享受免费护理知识培训；开展居家养老服务护理人员技能培训和竞赛。</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县（市）、区政府、市人社局、市教育局、市卫健委、市财政局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990" w:type="dxa"/>
            <w:vMerge w:val="continue"/>
            <w:tcBorders>
              <w:left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p>
        </w:tc>
        <w:tc>
          <w:tcPr>
            <w:tcW w:w="838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hAnsi="宋体" w:cs="宋体"/>
                <w:kern w:val="0"/>
                <w:sz w:val="19"/>
                <w:szCs w:val="19"/>
              </w:rPr>
            </w:pPr>
            <w:r>
              <w:rPr>
                <w:sz w:val="19"/>
                <w:szCs w:val="19"/>
              </w:rPr>
              <w:t>1</w:t>
            </w:r>
            <w:r>
              <w:rPr>
                <w:rFonts w:hint="eastAsia"/>
                <w:sz w:val="19"/>
                <w:szCs w:val="19"/>
              </w:rPr>
              <w:t>8．高等学校、中等职业技术学校毕业生在养老机构从事养老护理工作满3年且继续在上述岗位工作，给予3000-6</w:t>
            </w:r>
            <w:r>
              <w:rPr>
                <w:sz w:val="19"/>
                <w:szCs w:val="19"/>
              </w:rPr>
              <w:t>000</w:t>
            </w:r>
            <w:r>
              <w:rPr>
                <w:rFonts w:hint="eastAsia"/>
                <w:sz w:val="19"/>
                <w:szCs w:val="19"/>
              </w:rPr>
              <w:t>元的学费补助；在养老机构连续从事养老护理岗位满2年以上，取得养老护理员职业资格证书的人员，按照初级、中级、高级分别给予每月100元、200元、300元的补贴；取得培训机构养老护理员岗位培训合格证书人员，按照满2年、5年、10年分别给予每月100元、200元、300元的补贴；取得护士执业资格证书，康复治疗（理疗）师证书的养老护理岗位工作人员参照此款。</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hAns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hAnsi="宋体" w:cs="宋体"/>
                <w:kern w:val="0"/>
                <w:sz w:val="19"/>
                <w:szCs w:val="19"/>
              </w:rPr>
            </w:pPr>
            <w:r>
              <w:rPr>
                <w:rFonts w:hint="eastAsia" w:ascii="宋体" w:hAnsi="宋体" w:cs="宋体"/>
                <w:kern w:val="0"/>
                <w:sz w:val="19"/>
                <w:szCs w:val="19"/>
              </w:rPr>
              <w:t>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hAnsi="宋体" w:cs="宋体"/>
                <w:kern w:val="0"/>
                <w:sz w:val="19"/>
                <w:szCs w:val="19"/>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990" w:type="dxa"/>
            <w:vMerge w:val="continue"/>
            <w:tcBorders>
              <w:left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pStyle w:val="4"/>
              <w:shd w:val="clear" w:color="auto" w:fill="FFFFFF"/>
              <w:tabs>
                <w:tab w:val="left" w:pos="312"/>
              </w:tabs>
              <w:adjustRightInd w:val="0"/>
              <w:snapToGrid w:val="0"/>
              <w:spacing w:before="0" w:beforeAutospacing="0" w:after="0" w:afterAutospacing="0" w:line="300" w:lineRule="auto"/>
              <w:rPr>
                <w:sz w:val="19"/>
                <w:szCs w:val="19"/>
              </w:rPr>
            </w:pPr>
            <w:r>
              <w:rPr>
                <w:rFonts w:hint="eastAsia"/>
                <w:sz w:val="19"/>
                <w:szCs w:val="19"/>
              </w:rPr>
              <w:t>19.对养老服务机构招用毕业两年内普通高校毕业生，签订</w:t>
            </w:r>
            <w:r>
              <w:rPr>
                <w:sz w:val="19"/>
                <w:szCs w:val="19"/>
              </w:rPr>
              <w:t>1</w:t>
            </w:r>
            <w:r>
              <w:rPr>
                <w:rFonts w:hint="eastAsia"/>
                <w:sz w:val="19"/>
                <w:szCs w:val="19"/>
              </w:rPr>
              <w:t>年以上劳动合同并缴纳社会保险费的，符合小微企业吸纳高校毕业生社保补贴条件的，给予社会保险补贴。</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市人社局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县（市）、区政府、市民政局、市财政局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89" w:hRule="atLeast"/>
          <w:jc w:val="center"/>
        </w:trPr>
        <w:tc>
          <w:tcPr>
            <w:tcW w:w="990"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r>
              <w:rPr>
                <w:rFonts w:hint="eastAsia" w:ascii="宋体" w:hAnsi="宋体" w:cs="宋体"/>
                <w:kern w:val="0"/>
                <w:sz w:val="19"/>
                <w:szCs w:val="19"/>
              </w:rPr>
              <w:t>20．扶持和发展各类居家养老服务志愿组织，鼓励邻里互助养老，引导低龄健康老年人帮扶高龄、失能、失智、残疾老年人，支持基层老年组织开展各种形式的互助服务；鼓励国家机关工作人员和企业事业单位职工、在校学生等参加居家养老志愿服务活动；鼓励公益慈善等社会组织参与居家养老服务，满足居家老年人多样化、多层次的养老服务需求；建立志愿服务记录制度，积极探索“学生社区志愿服务计学分”、志愿服务积分和“时间银行”等制度，保护志愿者合法权益。</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县（市）、区政府、市教育局、市文明办、市财政局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990" w:type="dxa"/>
            <w:vMerge w:val="restart"/>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p>
          <w:p>
            <w:pPr>
              <w:widowControl/>
              <w:adjustRightInd w:val="0"/>
              <w:snapToGrid w:val="0"/>
              <w:jc w:val="left"/>
              <w:rPr>
                <w:rFonts w:ascii="宋体" w:cs="宋体"/>
                <w:kern w:val="0"/>
                <w:sz w:val="19"/>
                <w:szCs w:val="19"/>
              </w:rPr>
            </w:pPr>
            <w:r>
              <w:rPr>
                <w:rFonts w:hint="eastAsia" w:ascii="宋体" w:hAnsi="宋体" w:cs="宋体"/>
                <w:kern w:val="0"/>
                <w:sz w:val="19"/>
                <w:szCs w:val="19"/>
              </w:rPr>
              <w:t>五、加强居家养老服务行业监管</w:t>
            </w: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hint="eastAsia" w:ascii="宋体" w:hAnsi="宋体" w:cs="宋体"/>
                <w:kern w:val="0"/>
                <w:sz w:val="19"/>
                <w:szCs w:val="19"/>
              </w:rPr>
              <w:t>21．建立老年人意外伤害综合保险制度，落实政策性综合责任保险制度，对于公办养老机构，省级给予每床20元的保费补贴；鼓励发展商业性长期护理保险产品，为参保人员提供个性化长期照护服务。</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19"/>
                <w:szCs w:val="19"/>
              </w:rPr>
            </w:pPr>
            <w:r>
              <w:rPr>
                <w:rFonts w:hint="eastAsia" w:ascii="宋体" w:hAnsi="宋体" w:cs="宋体"/>
                <w:kern w:val="0"/>
                <w:sz w:val="19"/>
                <w:szCs w:val="19"/>
              </w:rPr>
              <w:t>县（市）、区政府、市医保局、市财政局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adjustRightInd w:val="0"/>
              <w:snapToGrid w:val="0"/>
              <w:rPr>
                <w:rFonts w:ascii="宋体" w:cs="宋体"/>
                <w:kern w:val="0"/>
                <w:sz w:val="19"/>
                <w:szCs w:val="19"/>
              </w:rPr>
            </w:pPr>
            <w:r>
              <w:rPr>
                <w:rFonts w:hint="eastAsia" w:ascii="宋体" w:hAnsi="宋体" w:cs="宋体"/>
                <w:kern w:val="0"/>
                <w:sz w:val="19"/>
                <w:szCs w:val="19"/>
              </w:rPr>
              <w:t>22．建立居家养老服务机构等级评定制度，并纳入社会诚信建设体系。建立居家养老服务评估制度，将评估结果作为确定老年人服务需求类型、照料护理等级、养老服务补贴标准、居家养老服务组织享受相关优惠待遇的依据。</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pStyle w:val="4"/>
              <w:shd w:val="clear" w:color="auto" w:fill="FFFFFF"/>
              <w:adjustRightInd w:val="0"/>
              <w:snapToGrid w:val="0"/>
              <w:spacing w:before="0" w:beforeAutospacing="0" w:after="0" w:afterAutospacing="0" w:line="300" w:lineRule="auto"/>
              <w:jc w:val="both"/>
              <w:rPr>
                <w:sz w:val="19"/>
                <w:szCs w:val="19"/>
              </w:rPr>
            </w:pPr>
            <w:r>
              <w:rPr>
                <w:sz w:val="19"/>
                <w:szCs w:val="19"/>
              </w:rPr>
              <w:t>2</w:t>
            </w:r>
            <w:r>
              <w:rPr>
                <w:rFonts w:hint="eastAsia"/>
                <w:sz w:val="19"/>
                <w:szCs w:val="19"/>
              </w:rPr>
              <w:t>3．鼓励引导行业组织、居家养老服务机构制定居家养老服务规范，重点抓好日间照料、“六助”服务、紧急救援、辅具适配等方面标准的立项、起草、审查、批准发布等工作；围绕社区居家养老服务用房和设施，明确设施规模、功能、人员和监管等方面的基本要求；对主导和参与地方标准、行业标准、国家标准制修订的居家养老服务机构，按照政府有关规定给予奖励，对其在承接政府购买服务方面给予倾斜支持。</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市市场监管局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tabs>
                <w:tab w:val="left" w:pos="312"/>
              </w:tabs>
              <w:adjustRightInd w:val="0"/>
              <w:snapToGrid w:val="0"/>
              <w:rPr>
                <w:rFonts w:ascii="宋体" w:cs="宋体"/>
                <w:kern w:val="0"/>
                <w:sz w:val="19"/>
                <w:szCs w:val="19"/>
              </w:rPr>
            </w:pPr>
            <w:r>
              <w:rPr>
                <w:rFonts w:ascii="宋体" w:hAnsi="宋体" w:cs="宋体"/>
                <w:kern w:val="0"/>
                <w:sz w:val="19"/>
                <w:szCs w:val="19"/>
              </w:rPr>
              <w:t>2</w:t>
            </w:r>
            <w:r>
              <w:rPr>
                <w:rFonts w:hint="eastAsia" w:ascii="宋体" w:hAnsi="宋体" w:cs="宋体"/>
                <w:kern w:val="0"/>
                <w:sz w:val="19"/>
                <w:szCs w:val="19"/>
              </w:rPr>
              <w:t>4．加强对居家养老服务机构的监督管理，建立居家养老服务机构信息档案，记录其设立与变更、日常监督检查、违法行为查处、综合评估结果等情况，并向社会公开，接受社会监督。居家养老服务机构应建立服务档案，公开服务项目、规范及收费标准等，接受社会公众的监督。</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60"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tabs>
                <w:tab w:val="left" w:pos="312"/>
              </w:tabs>
              <w:adjustRightInd w:val="0"/>
              <w:snapToGrid w:val="0"/>
              <w:rPr>
                <w:rFonts w:ascii="宋体" w:cs="宋体"/>
                <w:kern w:val="0"/>
                <w:sz w:val="19"/>
                <w:szCs w:val="19"/>
              </w:rPr>
            </w:pPr>
            <w:r>
              <w:rPr>
                <w:rFonts w:ascii="宋体" w:hAnsi="宋体" w:cs="宋体"/>
                <w:kern w:val="0"/>
                <w:sz w:val="19"/>
                <w:szCs w:val="19"/>
              </w:rPr>
              <w:t>2</w:t>
            </w:r>
            <w:r>
              <w:rPr>
                <w:rFonts w:hint="eastAsia" w:ascii="宋体" w:hAnsi="宋体" w:cs="宋体"/>
                <w:kern w:val="0"/>
                <w:sz w:val="19"/>
                <w:szCs w:val="19"/>
              </w:rPr>
              <w:t>5．开放居家养老服务市场，政府出资建设的居家养老服务设施，在不改变公共服务功能的前提下可低偿或免费由专业居家养老服务组织、管理团队运营；通过购买服务、以奖代补、运营资助等方式，支持在养老服务领域着力打造具有影响力和竞争力的居家养老服务品牌企业；非营利性居家养老服务机构可在其登记管理机关管辖区域内设立多个不具备法人资格的服务网点；对已经在其他地方取得营业执照的居家养老服务企业，不得要求其在本地开展经营活动时必须设立子公司。</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县（市）、区政府、市市场监管局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ascii="宋体" w:hAnsi="宋体" w:cs="宋体"/>
                <w:kern w:val="0"/>
                <w:sz w:val="19"/>
                <w:szCs w:val="19"/>
              </w:rPr>
              <w:t>20</w:t>
            </w:r>
            <w:r>
              <w:rPr>
                <w:rFonts w:hint="eastAsia" w:ascii="宋体" w:hAnsi="宋体" w:cs="宋体"/>
                <w:kern w:val="0"/>
                <w:sz w:val="19"/>
                <w:szCs w:val="19"/>
              </w:rPr>
              <w:t>20年制定方案，持续实施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cs="宋体"/>
                <w:kern w:val="0"/>
                <w:sz w:val="19"/>
                <w:szCs w:val="19"/>
              </w:rPr>
            </w:pPr>
          </w:p>
        </w:tc>
        <w:tc>
          <w:tcPr>
            <w:tcW w:w="8380" w:type="dxa"/>
            <w:tcBorders>
              <w:top w:val="nil"/>
              <w:left w:val="nil"/>
              <w:bottom w:val="single" w:color="auto" w:sz="4" w:space="0"/>
              <w:right w:val="single" w:color="auto" w:sz="4" w:space="0"/>
            </w:tcBorders>
            <w:tcMar>
              <w:top w:w="0" w:type="dxa"/>
              <w:left w:w="84" w:type="dxa"/>
              <w:bottom w:w="0" w:type="dxa"/>
              <w:right w:w="84" w:type="dxa"/>
            </w:tcMar>
            <w:vAlign w:val="center"/>
          </w:tcPr>
          <w:p>
            <w:pPr>
              <w:tabs>
                <w:tab w:val="left" w:pos="312"/>
              </w:tabs>
              <w:adjustRightInd w:val="0"/>
              <w:snapToGrid w:val="0"/>
              <w:rPr>
                <w:rFonts w:ascii="宋体" w:cs="宋体"/>
                <w:kern w:val="0"/>
                <w:sz w:val="19"/>
                <w:szCs w:val="19"/>
              </w:rPr>
            </w:pPr>
            <w:r>
              <w:rPr>
                <w:rFonts w:ascii="宋体" w:hAnsi="宋体" w:cs="宋体"/>
                <w:kern w:val="0"/>
                <w:sz w:val="19"/>
                <w:szCs w:val="19"/>
              </w:rPr>
              <w:t>2</w:t>
            </w:r>
            <w:r>
              <w:rPr>
                <w:rFonts w:hint="eastAsia" w:ascii="宋体" w:hAnsi="宋体" w:cs="宋体"/>
                <w:kern w:val="0"/>
                <w:sz w:val="19"/>
                <w:szCs w:val="19"/>
              </w:rPr>
              <w:t>6．加强对居家养老服务机构的指导和事中事后监管，将居家养老服务机构及其从业人员信用信息纳入社会信用体系管理，对存在严重失信行为的居家养老服务机构和服务人员实施联合惩戒；加强对有不良信用记录的居家养老服务机构的监督检查和整改指导。</w:t>
            </w:r>
          </w:p>
        </w:tc>
        <w:tc>
          <w:tcPr>
            <w:tcW w:w="964"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19"/>
                <w:szCs w:val="19"/>
              </w:rPr>
            </w:pPr>
            <w:r>
              <w:rPr>
                <w:rFonts w:hint="eastAsia" w:ascii="宋体" w:hAnsi="宋体" w:cs="宋体"/>
                <w:kern w:val="0"/>
                <w:sz w:val="19"/>
                <w:szCs w:val="19"/>
              </w:rPr>
              <w:t>市民政局</w:t>
            </w:r>
          </w:p>
        </w:tc>
        <w:tc>
          <w:tcPr>
            <w:tcW w:w="210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left"/>
              <w:rPr>
                <w:rFonts w:ascii="宋体" w:cs="宋体"/>
                <w:kern w:val="0"/>
                <w:sz w:val="22"/>
              </w:rPr>
            </w:pPr>
            <w:r>
              <w:rPr>
                <w:rFonts w:hint="eastAsia" w:ascii="宋体" w:hAnsi="宋体" w:cs="宋体"/>
                <w:kern w:val="0"/>
                <w:sz w:val="19"/>
                <w:szCs w:val="19"/>
              </w:rPr>
              <w:t>县（市）、区政府、市发改委、市卫健委、市市场监管局</w:t>
            </w:r>
          </w:p>
        </w:tc>
        <w:tc>
          <w:tcPr>
            <w:tcW w:w="92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adjustRightInd w:val="0"/>
              <w:snapToGrid w:val="0"/>
              <w:spacing w:before="100" w:beforeAutospacing="1" w:after="100" w:afterAutospacing="1"/>
              <w:jc w:val="center"/>
              <w:rPr>
                <w:rFonts w:ascii="宋体" w:cs="宋体"/>
                <w:kern w:val="0"/>
                <w:sz w:val="22"/>
              </w:rPr>
            </w:pPr>
            <w:r>
              <w:rPr>
                <w:rFonts w:hint="eastAsia" w:ascii="宋体" w:hAnsi="宋体" w:cs="宋体"/>
                <w:kern w:val="0"/>
                <w:sz w:val="19"/>
                <w:szCs w:val="19"/>
              </w:rPr>
              <w:t>持续实施</w:t>
            </w:r>
          </w:p>
        </w:tc>
      </w:tr>
    </w:tbl>
    <w:p>
      <w:pPr>
        <w:widowControl/>
        <w:adjustRightInd w:val="0"/>
        <w:snapToGrid w:val="0"/>
        <w:spacing w:before="100" w:beforeAutospacing="1" w:after="100" w:afterAutospacing="1"/>
        <w:jc w:val="left"/>
        <w:outlineLvl w:val="0"/>
        <w:rPr>
          <w:rFonts w:ascii="黑体" w:hAnsi="黑体" w:eastAsia="黑体" w:cs="宋体"/>
          <w:kern w:val="0"/>
          <w:sz w:val="25"/>
          <w:szCs w:val="25"/>
        </w:rPr>
      </w:pPr>
    </w:p>
    <w:p>
      <w:pPr>
        <w:tabs>
          <w:tab w:val="left" w:pos="3523"/>
        </w:tabs>
        <w:jc w:val="left"/>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文本框 102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path/>
          <v:fill on="f" focussize="0,0"/>
          <v:stroke on="f" weight="0.5pt" joinstyle="miter"/>
          <v:imagedata o:title=""/>
          <o:lock v:ext="edit"/>
          <v:textbox inset="0mm,0mm,0mm,0mm" style="mso-fit-shape-to-text:t;">
            <w:txbxContent>
              <w:p>
                <w:pPr>
                  <w:pStyle w:val="2"/>
                  <w:jc w:val="center"/>
                </w:pPr>
                <w:r>
                  <w:rPr>
                    <w:rFonts w:ascii="黑体" w:hAnsi="黑体" w:eastAsia="黑体" w:cs="黑体"/>
                    <w:sz w:val="24"/>
                    <w:szCs w:val="24"/>
                  </w:rPr>
                  <w:fldChar w:fldCharType="begin"/>
                </w:r>
                <w:r>
                  <w:rPr>
                    <w:rFonts w:ascii="黑体" w:hAnsi="黑体" w:eastAsia="黑体" w:cs="黑体"/>
                    <w:sz w:val="24"/>
                    <w:szCs w:val="24"/>
                  </w:rPr>
                  <w:instrText xml:space="preserve"> PAGE   \* MERGEFORMAT </w:instrText>
                </w:r>
                <w:r>
                  <w:rPr>
                    <w:rFonts w:ascii="黑体" w:hAnsi="黑体" w:eastAsia="黑体" w:cs="黑体"/>
                    <w:sz w:val="24"/>
                    <w:szCs w:val="24"/>
                  </w:rPr>
                  <w:fldChar w:fldCharType="separate"/>
                </w:r>
                <w:r>
                  <w:rPr>
                    <w:rFonts w:ascii="黑体" w:hAnsi="黑体" w:eastAsia="黑体" w:cs="黑体"/>
                    <w:sz w:val="24"/>
                    <w:szCs w:val="24"/>
                    <w:lang w:val="zh-CN"/>
                  </w:rPr>
                  <w:t>-</w:t>
                </w:r>
                <w:r>
                  <w:rPr>
                    <w:rFonts w:ascii="黑体" w:hAnsi="黑体" w:eastAsia="黑体" w:cs="黑体"/>
                    <w:sz w:val="24"/>
                    <w:szCs w:val="24"/>
                  </w:rPr>
                  <w:t xml:space="preserve"> 1 -</w:t>
                </w:r>
                <w:r>
                  <w:rPr>
                    <w:rFonts w:ascii="黑体" w:hAnsi="黑体" w:eastAsia="黑体" w:cs="黑体"/>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727"/>
    <w:rsid w:val="000022C4"/>
    <w:rsid w:val="000128A1"/>
    <w:rsid w:val="000239B8"/>
    <w:rsid w:val="000247CA"/>
    <w:rsid w:val="0003708E"/>
    <w:rsid w:val="00044CBF"/>
    <w:rsid w:val="00054A4E"/>
    <w:rsid w:val="000646BC"/>
    <w:rsid w:val="00066461"/>
    <w:rsid w:val="00072599"/>
    <w:rsid w:val="00077535"/>
    <w:rsid w:val="00080BFA"/>
    <w:rsid w:val="000A0CCB"/>
    <w:rsid w:val="000A6A57"/>
    <w:rsid w:val="000A78E2"/>
    <w:rsid w:val="000B5E04"/>
    <w:rsid w:val="000C5083"/>
    <w:rsid w:val="000F324E"/>
    <w:rsid w:val="00105430"/>
    <w:rsid w:val="001254CE"/>
    <w:rsid w:val="00142BB6"/>
    <w:rsid w:val="001437AD"/>
    <w:rsid w:val="001677C7"/>
    <w:rsid w:val="00174A14"/>
    <w:rsid w:val="00182B7D"/>
    <w:rsid w:val="00184ABD"/>
    <w:rsid w:val="0018609C"/>
    <w:rsid w:val="001A08C6"/>
    <w:rsid w:val="001D5BAF"/>
    <w:rsid w:val="001E1F49"/>
    <w:rsid w:val="001E314A"/>
    <w:rsid w:val="001E3749"/>
    <w:rsid w:val="001F1AFD"/>
    <w:rsid w:val="00221629"/>
    <w:rsid w:val="00224A17"/>
    <w:rsid w:val="0024638E"/>
    <w:rsid w:val="00247D5D"/>
    <w:rsid w:val="00251EAB"/>
    <w:rsid w:val="00271078"/>
    <w:rsid w:val="002A535A"/>
    <w:rsid w:val="002A537A"/>
    <w:rsid w:val="002A6E64"/>
    <w:rsid w:val="002B058F"/>
    <w:rsid w:val="002B0E1F"/>
    <w:rsid w:val="002B46D0"/>
    <w:rsid w:val="002B47E9"/>
    <w:rsid w:val="002B6C75"/>
    <w:rsid w:val="002D1A65"/>
    <w:rsid w:val="002D26FD"/>
    <w:rsid w:val="002D60B9"/>
    <w:rsid w:val="002E1DDD"/>
    <w:rsid w:val="002E2189"/>
    <w:rsid w:val="002E417F"/>
    <w:rsid w:val="002E4F1D"/>
    <w:rsid w:val="002E76F2"/>
    <w:rsid w:val="002F2534"/>
    <w:rsid w:val="002F553F"/>
    <w:rsid w:val="00317ABE"/>
    <w:rsid w:val="00317D8B"/>
    <w:rsid w:val="00320A21"/>
    <w:rsid w:val="00326656"/>
    <w:rsid w:val="00336D9A"/>
    <w:rsid w:val="003405B5"/>
    <w:rsid w:val="00345267"/>
    <w:rsid w:val="00350952"/>
    <w:rsid w:val="00354ABC"/>
    <w:rsid w:val="0036365E"/>
    <w:rsid w:val="0036508D"/>
    <w:rsid w:val="00366E13"/>
    <w:rsid w:val="00370BAA"/>
    <w:rsid w:val="003739AA"/>
    <w:rsid w:val="00383968"/>
    <w:rsid w:val="00385576"/>
    <w:rsid w:val="00386847"/>
    <w:rsid w:val="0039000E"/>
    <w:rsid w:val="003A42B0"/>
    <w:rsid w:val="003B3CBA"/>
    <w:rsid w:val="003D5993"/>
    <w:rsid w:val="003D6C13"/>
    <w:rsid w:val="003E1546"/>
    <w:rsid w:val="003E7F74"/>
    <w:rsid w:val="003F0AB3"/>
    <w:rsid w:val="00402B94"/>
    <w:rsid w:val="004151FC"/>
    <w:rsid w:val="00434D62"/>
    <w:rsid w:val="00436AE8"/>
    <w:rsid w:val="00437C21"/>
    <w:rsid w:val="00455F30"/>
    <w:rsid w:val="00462725"/>
    <w:rsid w:val="00463DE1"/>
    <w:rsid w:val="00480792"/>
    <w:rsid w:val="00483678"/>
    <w:rsid w:val="004857C5"/>
    <w:rsid w:val="0049712B"/>
    <w:rsid w:val="004A013B"/>
    <w:rsid w:val="004A356A"/>
    <w:rsid w:val="004B16F6"/>
    <w:rsid w:val="004B1E7A"/>
    <w:rsid w:val="004B3D37"/>
    <w:rsid w:val="004B4548"/>
    <w:rsid w:val="004B526B"/>
    <w:rsid w:val="004C26A8"/>
    <w:rsid w:val="004C7126"/>
    <w:rsid w:val="004D0A5F"/>
    <w:rsid w:val="004D5FF7"/>
    <w:rsid w:val="004E5171"/>
    <w:rsid w:val="004E5BD2"/>
    <w:rsid w:val="004E779E"/>
    <w:rsid w:val="0050371B"/>
    <w:rsid w:val="0051403A"/>
    <w:rsid w:val="00523D45"/>
    <w:rsid w:val="00527090"/>
    <w:rsid w:val="00527A4F"/>
    <w:rsid w:val="0053352E"/>
    <w:rsid w:val="005349B2"/>
    <w:rsid w:val="005501F3"/>
    <w:rsid w:val="00550863"/>
    <w:rsid w:val="00551478"/>
    <w:rsid w:val="00556F86"/>
    <w:rsid w:val="00583859"/>
    <w:rsid w:val="005C0BB3"/>
    <w:rsid w:val="005D37C8"/>
    <w:rsid w:val="005E116C"/>
    <w:rsid w:val="005E27DC"/>
    <w:rsid w:val="005F1CD3"/>
    <w:rsid w:val="005F207F"/>
    <w:rsid w:val="005F3411"/>
    <w:rsid w:val="005F7A71"/>
    <w:rsid w:val="0060260E"/>
    <w:rsid w:val="0060264E"/>
    <w:rsid w:val="00603CFB"/>
    <w:rsid w:val="006104F2"/>
    <w:rsid w:val="0061396F"/>
    <w:rsid w:val="00622798"/>
    <w:rsid w:val="00641E22"/>
    <w:rsid w:val="00644AA2"/>
    <w:rsid w:val="00655A3E"/>
    <w:rsid w:val="006564D5"/>
    <w:rsid w:val="00664707"/>
    <w:rsid w:val="00664AC7"/>
    <w:rsid w:val="00667CDB"/>
    <w:rsid w:val="00670D4C"/>
    <w:rsid w:val="006722FA"/>
    <w:rsid w:val="006774E4"/>
    <w:rsid w:val="006802D7"/>
    <w:rsid w:val="006861DD"/>
    <w:rsid w:val="006868CF"/>
    <w:rsid w:val="006868E2"/>
    <w:rsid w:val="00691D2D"/>
    <w:rsid w:val="00694494"/>
    <w:rsid w:val="00697F39"/>
    <w:rsid w:val="006A01C1"/>
    <w:rsid w:val="006A1DD9"/>
    <w:rsid w:val="006B49AD"/>
    <w:rsid w:val="006B7B0C"/>
    <w:rsid w:val="006C0CBB"/>
    <w:rsid w:val="006C52EB"/>
    <w:rsid w:val="006C77EA"/>
    <w:rsid w:val="006C7FFE"/>
    <w:rsid w:val="006E0644"/>
    <w:rsid w:val="006E119B"/>
    <w:rsid w:val="006E7290"/>
    <w:rsid w:val="006F276B"/>
    <w:rsid w:val="006F5B91"/>
    <w:rsid w:val="00702EAE"/>
    <w:rsid w:val="00705D0E"/>
    <w:rsid w:val="00715058"/>
    <w:rsid w:val="00724A62"/>
    <w:rsid w:val="00747369"/>
    <w:rsid w:val="00762D3A"/>
    <w:rsid w:val="00770902"/>
    <w:rsid w:val="007724AD"/>
    <w:rsid w:val="00773B5F"/>
    <w:rsid w:val="00776830"/>
    <w:rsid w:val="00781C0D"/>
    <w:rsid w:val="007943AB"/>
    <w:rsid w:val="007C27DB"/>
    <w:rsid w:val="007C3CD6"/>
    <w:rsid w:val="007E22A5"/>
    <w:rsid w:val="007E2448"/>
    <w:rsid w:val="007F05D1"/>
    <w:rsid w:val="007F36BE"/>
    <w:rsid w:val="008062D6"/>
    <w:rsid w:val="00830B35"/>
    <w:rsid w:val="008362A6"/>
    <w:rsid w:val="00865B84"/>
    <w:rsid w:val="00886BC4"/>
    <w:rsid w:val="008963C4"/>
    <w:rsid w:val="008A3018"/>
    <w:rsid w:val="008A4805"/>
    <w:rsid w:val="008B4A77"/>
    <w:rsid w:val="008B761F"/>
    <w:rsid w:val="008C459C"/>
    <w:rsid w:val="008D3F4B"/>
    <w:rsid w:val="0091760C"/>
    <w:rsid w:val="00932D01"/>
    <w:rsid w:val="00937F04"/>
    <w:rsid w:val="00942AA3"/>
    <w:rsid w:val="0094353B"/>
    <w:rsid w:val="00943EA8"/>
    <w:rsid w:val="009441A5"/>
    <w:rsid w:val="00960B90"/>
    <w:rsid w:val="00974DC3"/>
    <w:rsid w:val="00975657"/>
    <w:rsid w:val="009926FB"/>
    <w:rsid w:val="009946C3"/>
    <w:rsid w:val="00995154"/>
    <w:rsid w:val="009A3BD1"/>
    <w:rsid w:val="009B4EBA"/>
    <w:rsid w:val="009B7466"/>
    <w:rsid w:val="009C5A69"/>
    <w:rsid w:val="009D1320"/>
    <w:rsid w:val="009D6DC6"/>
    <w:rsid w:val="009F2EBD"/>
    <w:rsid w:val="009F616B"/>
    <w:rsid w:val="00A01CF7"/>
    <w:rsid w:val="00A27139"/>
    <w:rsid w:val="00A3051B"/>
    <w:rsid w:val="00A32E53"/>
    <w:rsid w:val="00A34FFB"/>
    <w:rsid w:val="00A56393"/>
    <w:rsid w:val="00A65401"/>
    <w:rsid w:val="00A82225"/>
    <w:rsid w:val="00A83110"/>
    <w:rsid w:val="00A91727"/>
    <w:rsid w:val="00A9480F"/>
    <w:rsid w:val="00A96A5E"/>
    <w:rsid w:val="00AA3F51"/>
    <w:rsid w:val="00AA414F"/>
    <w:rsid w:val="00AB0323"/>
    <w:rsid w:val="00AD2DEB"/>
    <w:rsid w:val="00AD4133"/>
    <w:rsid w:val="00AD42CE"/>
    <w:rsid w:val="00AD4749"/>
    <w:rsid w:val="00AD648E"/>
    <w:rsid w:val="00AD6F43"/>
    <w:rsid w:val="00AE62CA"/>
    <w:rsid w:val="00AF1F5F"/>
    <w:rsid w:val="00AF5838"/>
    <w:rsid w:val="00B02A11"/>
    <w:rsid w:val="00B103A4"/>
    <w:rsid w:val="00B1281C"/>
    <w:rsid w:val="00B1583D"/>
    <w:rsid w:val="00B178A2"/>
    <w:rsid w:val="00B3144C"/>
    <w:rsid w:val="00B32A9D"/>
    <w:rsid w:val="00B3487C"/>
    <w:rsid w:val="00B402C6"/>
    <w:rsid w:val="00B4531D"/>
    <w:rsid w:val="00B5106B"/>
    <w:rsid w:val="00B5516B"/>
    <w:rsid w:val="00B55828"/>
    <w:rsid w:val="00B60918"/>
    <w:rsid w:val="00B755DC"/>
    <w:rsid w:val="00B75BDB"/>
    <w:rsid w:val="00B80860"/>
    <w:rsid w:val="00B8143D"/>
    <w:rsid w:val="00B83C99"/>
    <w:rsid w:val="00BA5823"/>
    <w:rsid w:val="00BC5AF6"/>
    <w:rsid w:val="00BD2207"/>
    <w:rsid w:val="00BD2EDD"/>
    <w:rsid w:val="00BD32F6"/>
    <w:rsid w:val="00BF45EC"/>
    <w:rsid w:val="00C018DE"/>
    <w:rsid w:val="00C029BF"/>
    <w:rsid w:val="00C049B2"/>
    <w:rsid w:val="00C058E4"/>
    <w:rsid w:val="00C106FE"/>
    <w:rsid w:val="00C27F32"/>
    <w:rsid w:val="00C50C46"/>
    <w:rsid w:val="00C51D19"/>
    <w:rsid w:val="00C54B70"/>
    <w:rsid w:val="00C60344"/>
    <w:rsid w:val="00C92823"/>
    <w:rsid w:val="00CA4B40"/>
    <w:rsid w:val="00CA6D4B"/>
    <w:rsid w:val="00CB0368"/>
    <w:rsid w:val="00CB17AF"/>
    <w:rsid w:val="00CB257C"/>
    <w:rsid w:val="00CB5062"/>
    <w:rsid w:val="00CC204F"/>
    <w:rsid w:val="00CC2450"/>
    <w:rsid w:val="00CD4F95"/>
    <w:rsid w:val="00CE54AD"/>
    <w:rsid w:val="00CE5E94"/>
    <w:rsid w:val="00CE70A1"/>
    <w:rsid w:val="00CE7B02"/>
    <w:rsid w:val="00D02643"/>
    <w:rsid w:val="00D04430"/>
    <w:rsid w:val="00D06C1F"/>
    <w:rsid w:val="00D14892"/>
    <w:rsid w:val="00D25D58"/>
    <w:rsid w:val="00D273F9"/>
    <w:rsid w:val="00D3033A"/>
    <w:rsid w:val="00D34A66"/>
    <w:rsid w:val="00D4202F"/>
    <w:rsid w:val="00D42850"/>
    <w:rsid w:val="00D45E9D"/>
    <w:rsid w:val="00D462E4"/>
    <w:rsid w:val="00D532DB"/>
    <w:rsid w:val="00D55580"/>
    <w:rsid w:val="00D5664A"/>
    <w:rsid w:val="00D566B6"/>
    <w:rsid w:val="00D66E86"/>
    <w:rsid w:val="00D673B5"/>
    <w:rsid w:val="00D76B18"/>
    <w:rsid w:val="00D81084"/>
    <w:rsid w:val="00D83B1F"/>
    <w:rsid w:val="00D85714"/>
    <w:rsid w:val="00D860A1"/>
    <w:rsid w:val="00D93097"/>
    <w:rsid w:val="00D96C54"/>
    <w:rsid w:val="00DA1877"/>
    <w:rsid w:val="00DA5A75"/>
    <w:rsid w:val="00DC58B7"/>
    <w:rsid w:val="00DD3D45"/>
    <w:rsid w:val="00DD62BD"/>
    <w:rsid w:val="00DD6319"/>
    <w:rsid w:val="00DE132D"/>
    <w:rsid w:val="00DE1971"/>
    <w:rsid w:val="00E01B31"/>
    <w:rsid w:val="00E129B2"/>
    <w:rsid w:val="00E159F5"/>
    <w:rsid w:val="00E16E1D"/>
    <w:rsid w:val="00E2245E"/>
    <w:rsid w:val="00E23956"/>
    <w:rsid w:val="00E255E7"/>
    <w:rsid w:val="00E30EE1"/>
    <w:rsid w:val="00E4585A"/>
    <w:rsid w:val="00E503C3"/>
    <w:rsid w:val="00E62762"/>
    <w:rsid w:val="00E668B7"/>
    <w:rsid w:val="00E75280"/>
    <w:rsid w:val="00E76815"/>
    <w:rsid w:val="00E859E5"/>
    <w:rsid w:val="00E9249D"/>
    <w:rsid w:val="00E96EEF"/>
    <w:rsid w:val="00EA4D5A"/>
    <w:rsid w:val="00EA6166"/>
    <w:rsid w:val="00EB1DA0"/>
    <w:rsid w:val="00EC06D8"/>
    <w:rsid w:val="00EC6A65"/>
    <w:rsid w:val="00EC71B0"/>
    <w:rsid w:val="00ED41F7"/>
    <w:rsid w:val="00ED5D2B"/>
    <w:rsid w:val="00EF3E0C"/>
    <w:rsid w:val="00F10B7B"/>
    <w:rsid w:val="00F1245F"/>
    <w:rsid w:val="00F124A0"/>
    <w:rsid w:val="00F24B8D"/>
    <w:rsid w:val="00F33017"/>
    <w:rsid w:val="00F34A7F"/>
    <w:rsid w:val="00F4184F"/>
    <w:rsid w:val="00F569ED"/>
    <w:rsid w:val="00F570C7"/>
    <w:rsid w:val="00F70154"/>
    <w:rsid w:val="00F721B1"/>
    <w:rsid w:val="00F75383"/>
    <w:rsid w:val="00F93E18"/>
    <w:rsid w:val="00F95199"/>
    <w:rsid w:val="00FA5B4E"/>
    <w:rsid w:val="00FB6054"/>
    <w:rsid w:val="00FC420E"/>
    <w:rsid w:val="00FD3E58"/>
    <w:rsid w:val="00FE01C8"/>
    <w:rsid w:val="00FE7E00"/>
    <w:rsid w:val="014A6410"/>
    <w:rsid w:val="016F6611"/>
    <w:rsid w:val="036A5BFB"/>
    <w:rsid w:val="04641933"/>
    <w:rsid w:val="059F6DE3"/>
    <w:rsid w:val="06CF18A4"/>
    <w:rsid w:val="078F1F4D"/>
    <w:rsid w:val="07C3365C"/>
    <w:rsid w:val="090D58B3"/>
    <w:rsid w:val="09F9621E"/>
    <w:rsid w:val="0A8C627C"/>
    <w:rsid w:val="0B547A6D"/>
    <w:rsid w:val="0BC617C1"/>
    <w:rsid w:val="0BC8257F"/>
    <w:rsid w:val="0BE134F4"/>
    <w:rsid w:val="0C0D0204"/>
    <w:rsid w:val="0CBC4A65"/>
    <w:rsid w:val="0D007733"/>
    <w:rsid w:val="0D931D3A"/>
    <w:rsid w:val="0EC07861"/>
    <w:rsid w:val="0F85435C"/>
    <w:rsid w:val="0FD151DA"/>
    <w:rsid w:val="11E707DE"/>
    <w:rsid w:val="121D2627"/>
    <w:rsid w:val="13A21B04"/>
    <w:rsid w:val="14D439C8"/>
    <w:rsid w:val="1510415B"/>
    <w:rsid w:val="15233BBE"/>
    <w:rsid w:val="15684808"/>
    <w:rsid w:val="15F73AD8"/>
    <w:rsid w:val="162741BA"/>
    <w:rsid w:val="171702A8"/>
    <w:rsid w:val="19DE3E34"/>
    <w:rsid w:val="1A427579"/>
    <w:rsid w:val="1AEA3227"/>
    <w:rsid w:val="1B9E7E7B"/>
    <w:rsid w:val="1BA95B23"/>
    <w:rsid w:val="1D252353"/>
    <w:rsid w:val="1EF37932"/>
    <w:rsid w:val="1F3E11A0"/>
    <w:rsid w:val="1F435B03"/>
    <w:rsid w:val="1F5C1FD1"/>
    <w:rsid w:val="1FF27F49"/>
    <w:rsid w:val="20BA561A"/>
    <w:rsid w:val="214E7C11"/>
    <w:rsid w:val="22AC0519"/>
    <w:rsid w:val="231222A2"/>
    <w:rsid w:val="23601DB8"/>
    <w:rsid w:val="23D21BCB"/>
    <w:rsid w:val="24720C5F"/>
    <w:rsid w:val="256E4C1B"/>
    <w:rsid w:val="260C3279"/>
    <w:rsid w:val="27696424"/>
    <w:rsid w:val="285C4C24"/>
    <w:rsid w:val="287368E8"/>
    <w:rsid w:val="292253CF"/>
    <w:rsid w:val="292A23BD"/>
    <w:rsid w:val="29312C6A"/>
    <w:rsid w:val="293C3EF6"/>
    <w:rsid w:val="29B911DE"/>
    <w:rsid w:val="2A1B300F"/>
    <w:rsid w:val="2C7F1482"/>
    <w:rsid w:val="2C8F70FB"/>
    <w:rsid w:val="2CB56D75"/>
    <w:rsid w:val="2D8D2F34"/>
    <w:rsid w:val="2E7112C7"/>
    <w:rsid w:val="2E9A2BFB"/>
    <w:rsid w:val="2EC9289C"/>
    <w:rsid w:val="2F974F8B"/>
    <w:rsid w:val="310A5FFE"/>
    <w:rsid w:val="31A95DAD"/>
    <w:rsid w:val="32E9118C"/>
    <w:rsid w:val="33603D75"/>
    <w:rsid w:val="343A4723"/>
    <w:rsid w:val="3459438A"/>
    <w:rsid w:val="34E6633A"/>
    <w:rsid w:val="35C0222E"/>
    <w:rsid w:val="3651473C"/>
    <w:rsid w:val="37D952C4"/>
    <w:rsid w:val="39E64CBB"/>
    <w:rsid w:val="3A04733A"/>
    <w:rsid w:val="3A1C7E56"/>
    <w:rsid w:val="3A7070E2"/>
    <w:rsid w:val="3BE543BC"/>
    <w:rsid w:val="3BE85586"/>
    <w:rsid w:val="3C070F30"/>
    <w:rsid w:val="3E08526B"/>
    <w:rsid w:val="3F2F5433"/>
    <w:rsid w:val="401D618F"/>
    <w:rsid w:val="40B71E21"/>
    <w:rsid w:val="40BD1947"/>
    <w:rsid w:val="40C30A2C"/>
    <w:rsid w:val="41D434AE"/>
    <w:rsid w:val="4201096F"/>
    <w:rsid w:val="44015B62"/>
    <w:rsid w:val="44A91F7A"/>
    <w:rsid w:val="44E441EA"/>
    <w:rsid w:val="45FF2DC1"/>
    <w:rsid w:val="463749C9"/>
    <w:rsid w:val="466D367F"/>
    <w:rsid w:val="466F73DD"/>
    <w:rsid w:val="47F6215E"/>
    <w:rsid w:val="47FE6E3B"/>
    <w:rsid w:val="4A792C9D"/>
    <w:rsid w:val="4ACA24C5"/>
    <w:rsid w:val="4B4D7C6C"/>
    <w:rsid w:val="4C210F75"/>
    <w:rsid w:val="4C226044"/>
    <w:rsid w:val="4DA661D6"/>
    <w:rsid w:val="4E7F2468"/>
    <w:rsid w:val="4F4D31CD"/>
    <w:rsid w:val="4FA3265B"/>
    <w:rsid w:val="50303D27"/>
    <w:rsid w:val="52446EDD"/>
    <w:rsid w:val="524564A3"/>
    <w:rsid w:val="53932080"/>
    <w:rsid w:val="54035FB5"/>
    <w:rsid w:val="55054CD6"/>
    <w:rsid w:val="55285B5C"/>
    <w:rsid w:val="55DA6AEA"/>
    <w:rsid w:val="56585C75"/>
    <w:rsid w:val="56A32793"/>
    <w:rsid w:val="58311C9A"/>
    <w:rsid w:val="5A927FFF"/>
    <w:rsid w:val="5ABE3D1E"/>
    <w:rsid w:val="5B4E358D"/>
    <w:rsid w:val="5B83684A"/>
    <w:rsid w:val="5BA51AA5"/>
    <w:rsid w:val="5BDC0F1F"/>
    <w:rsid w:val="5CCD7274"/>
    <w:rsid w:val="5CF662D3"/>
    <w:rsid w:val="5E5B0AC1"/>
    <w:rsid w:val="5E992573"/>
    <w:rsid w:val="5FF57EBA"/>
    <w:rsid w:val="604E0806"/>
    <w:rsid w:val="62F367BB"/>
    <w:rsid w:val="644B7220"/>
    <w:rsid w:val="644D1BAA"/>
    <w:rsid w:val="64B77759"/>
    <w:rsid w:val="650653C9"/>
    <w:rsid w:val="667A6E44"/>
    <w:rsid w:val="668D2B6C"/>
    <w:rsid w:val="678F3E7F"/>
    <w:rsid w:val="69D4124F"/>
    <w:rsid w:val="6A0A3B12"/>
    <w:rsid w:val="6A0A454A"/>
    <w:rsid w:val="6A295EE6"/>
    <w:rsid w:val="6B3C47BE"/>
    <w:rsid w:val="6C550154"/>
    <w:rsid w:val="6C58168E"/>
    <w:rsid w:val="6CAD745E"/>
    <w:rsid w:val="6DFE3093"/>
    <w:rsid w:val="6E613797"/>
    <w:rsid w:val="6EBE3FA3"/>
    <w:rsid w:val="6EEC0C47"/>
    <w:rsid w:val="6F1345CE"/>
    <w:rsid w:val="6FBB473A"/>
    <w:rsid w:val="70CE7752"/>
    <w:rsid w:val="71E82870"/>
    <w:rsid w:val="72191184"/>
    <w:rsid w:val="72672A32"/>
    <w:rsid w:val="7285480E"/>
    <w:rsid w:val="728A6C40"/>
    <w:rsid w:val="73842BFB"/>
    <w:rsid w:val="73B860C3"/>
    <w:rsid w:val="751A1DAB"/>
    <w:rsid w:val="75797506"/>
    <w:rsid w:val="75FA7FB4"/>
    <w:rsid w:val="762E1252"/>
    <w:rsid w:val="76767AB2"/>
    <w:rsid w:val="77F13275"/>
    <w:rsid w:val="7A105BAD"/>
    <w:rsid w:val="7A153378"/>
    <w:rsid w:val="7AA31A2B"/>
    <w:rsid w:val="7B7148C2"/>
    <w:rsid w:val="7D1E1922"/>
    <w:rsid w:val="7D677202"/>
    <w:rsid w:val="7E2C6149"/>
    <w:rsid w:val="7E700932"/>
    <w:rsid w:val="7F3F3483"/>
    <w:rsid w:val="7F520E4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character" w:customStyle="1" w:styleId="7">
    <w:name w:val="页脚 Char"/>
    <w:basedOn w:val="5"/>
    <w:link w:val="2"/>
    <w:qFormat/>
    <w:locked/>
    <w:uiPriority w:val="99"/>
    <w:rPr>
      <w:rFonts w:cs="Times New Roman"/>
      <w:sz w:val="18"/>
      <w:szCs w:val="18"/>
    </w:rPr>
  </w:style>
  <w:style w:type="character" w:customStyle="1" w:styleId="8">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1232</Words>
  <Characters>7026</Characters>
  <Lines>58</Lines>
  <Paragraphs>16</Paragraphs>
  <TotalTime>43</TotalTime>
  <ScaleCrop>false</ScaleCrop>
  <LinksUpToDate>false</LinksUpToDate>
  <CharactersWithSpaces>8242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2019-09-10T09:11:00Z</dcterms:created>
  <dc:creator>MZJ-SWK</dc:creator>
  <cp:lastModifiedBy>赵斐雅</cp:lastModifiedBy>
  <cp:lastPrinted>2020-01-22T02:13:00Z</cp:lastPrinted>
  <dcterms:modified xsi:type="dcterms:W3CDTF">2020-01-22T03:54:30Z</dcterms:modified>
  <dc:title>铜陵市</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